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7C46CD8B"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A61EFF">
        <w:rPr>
          <w:rFonts w:ascii="Arial" w:hAnsi="Arial" w:cs="Arial"/>
          <w:b/>
          <w:bCs/>
          <w:sz w:val="28"/>
        </w:rPr>
        <w:t>00960</w:t>
      </w:r>
      <w:bookmarkStart w:id="0" w:name="_GoBack"/>
      <w:bookmarkEnd w:id="0"/>
    </w:p>
    <w:p w14:paraId="1F172407" w14:textId="37009FE8" w:rsidR="00764120" w:rsidRPr="009513AC" w:rsidRDefault="00764120" w:rsidP="00764120">
      <w:pPr>
        <w:tabs>
          <w:tab w:val="center" w:pos="4536"/>
          <w:tab w:val="right" w:pos="9072"/>
        </w:tabs>
        <w:rPr>
          <w:rFonts w:ascii="Arial" w:eastAsia="ＭＳ 明朝" w:hAnsi="Arial" w:cs="Arial"/>
          <w:b/>
          <w:bCs/>
          <w:sz w:val="28"/>
        </w:rPr>
      </w:pPr>
      <w:r>
        <w:rPr>
          <w:rFonts w:ascii="Arial" w:eastAsia="ＭＳ 明朝" w:hAnsi="Arial" w:cs="Arial"/>
          <w:b/>
          <w:bCs/>
          <w:sz w:val="28"/>
        </w:rPr>
        <w:t>Taipei, 21</w:t>
      </w:r>
      <w:r w:rsidRPr="002826AF">
        <w:rPr>
          <w:rFonts w:ascii="Arial" w:eastAsia="ＭＳ 明朝" w:hAnsi="Arial" w:cs="Arial"/>
          <w:b/>
          <w:bCs/>
          <w:sz w:val="28"/>
          <w:vertAlign w:val="superscript"/>
        </w:rPr>
        <w:t>st</w:t>
      </w:r>
      <w:r>
        <w:rPr>
          <w:rFonts w:ascii="Arial" w:eastAsia="ＭＳ 明朝" w:hAnsi="Arial" w:cs="Arial"/>
          <w:b/>
          <w:bCs/>
          <w:sz w:val="28"/>
        </w:rPr>
        <w:t xml:space="preserve"> – 25</w:t>
      </w:r>
      <w:r w:rsidRPr="002826AF">
        <w:rPr>
          <w:rFonts w:ascii="Arial" w:eastAsia="ＭＳ 明朝" w:hAnsi="Arial" w:cs="Arial"/>
          <w:b/>
          <w:bCs/>
          <w:sz w:val="28"/>
          <w:vertAlign w:val="superscript"/>
        </w:rPr>
        <w:t>th</w:t>
      </w:r>
      <w:r>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4640784"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9D2855" w:rsidRPr="009D2855">
        <w:rPr>
          <w:sz w:val="24"/>
          <w:lang w:val="en-US"/>
        </w:rPr>
        <w:t>Mechanisms for resource multiplexing among backhaul and access links</w:t>
      </w:r>
    </w:p>
    <w:p w14:paraId="33948831" w14:textId="5C6B764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9D2855">
        <w:rPr>
          <w:rFonts w:hint="eastAsia"/>
          <w:sz w:val="24"/>
          <w:lang w:val="en-US" w:eastAsia="ja-JP"/>
        </w:rPr>
        <w:t>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0ED751ED"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the new WI on Integrated Access and Backhaul (IAB) for NR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28D2DB46" w14:textId="77777777" w:rsidR="00764120" w:rsidRPr="00764120" w:rsidRDefault="00764120" w:rsidP="00DF57F0">
            <w:pPr>
              <w:numPr>
                <w:ilvl w:val="0"/>
                <w:numId w:val="7"/>
              </w:numPr>
              <w:spacing w:before="60" w:after="60"/>
              <w:ind w:left="720"/>
              <w:rPr>
                <w:rFonts w:eastAsia="游明朝"/>
                <w:sz w:val="20"/>
                <w:lang w:eastAsia="en-US"/>
              </w:rPr>
            </w:pPr>
            <w:r w:rsidRPr="00764120">
              <w:rPr>
                <w:rFonts w:eastAsia="游明朝"/>
                <w:sz w:val="20"/>
                <w:lang w:eastAsia="en-US"/>
              </w:rPr>
              <w:t>Physical layer specification [RAN1-led, RAN2, RAN3, RAN4]:</w:t>
            </w:r>
          </w:p>
          <w:p w14:paraId="3C32D32A"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Specification of SSB/RMSI periodicity for NR initial access assumed by an IAB-node.</w:t>
            </w:r>
          </w:p>
          <w:p w14:paraId="04DBB7B8"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7C23CFED"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extension of RACH occasions and periodicities for backhaul RACH resources. w.r.t. access RACH resources, and associated network coordination mechanisms for selection of such parameters (in order to </w:t>
            </w:r>
            <w:proofErr w:type="spellStart"/>
            <w:r w:rsidRPr="00764120">
              <w:rPr>
                <w:rFonts w:eastAsia="游明朝"/>
                <w:sz w:val="20"/>
                <w:lang w:eastAsia="en-US"/>
              </w:rPr>
              <w:t>orthogonalize</w:t>
            </w:r>
            <w:proofErr w:type="spellEnd"/>
            <w:r w:rsidRPr="00764120">
              <w:rPr>
                <w:rFonts w:eastAsia="游明朝"/>
                <w:sz w:val="20"/>
                <w:lang w:eastAsia="en-US"/>
              </w:rPr>
              <w:t xml:space="preserve"> access and BH due to the half-duplex constraints)</w:t>
            </w:r>
            <w:r w:rsidRPr="00764120" w:rsidDel="008F7E88">
              <w:rPr>
                <w:rFonts w:eastAsia="游明朝"/>
                <w:sz w:val="20"/>
                <w:lang w:eastAsia="en-US"/>
              </w:rPr>
              <w:t xml:space="preserve"> </w:t>
            </w:r>
          </w:p>
          <w:p w14:paraId="04ECBF3F"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mechanisms for resource multiplexing among backhaul and access links. This includes: </w:t>
            </w:r>
          </w:p>
          <w:p w14:paraId="09718904"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63A2099C"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time resource types for the DU’s child links: DL hard, DL soft, UL hard, UL soft, Flexible hard, Flexible soft, Not Available </w:t>
            </w:r>
          </w:p>
          <w:p w14:paraId="5A57977D"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dynamic indication (L1 signalling) of the availability of soft resources for a child IAB-node DU </w:t>
            </w:r>
          </w:p>
          <w:p w14:paraId="6D5B6CE0"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Specification of required transmission/reception rules for IAB-nodes and associated behaviours regarding time resource utilization as discussed in TR 38.874 clause 7.3.3.</w:t>
            </w:r>
          </w:p>
          <w:p w14:paraId="607EE953" w14:textId="50A08969"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Specification of mechanism to support the “case-1” OTA timing alignment.</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6A7E8F5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9D2855">
        <w:rPr>
          <w:rFonts w:eastAsia="ＭＳ 明朝"/>
          <w:sz w:val="22"/>
          <w:szCs w:val="22"/>
          <w:lang w:val="en-US"/>
        </w:rPr>
        <w:t>m</w:t>
      </w:r>
      <w:r w:rsidR="009D2855" w:rsidRPr="009D2855">
        <w:rPr>
          <w:rFonts w:eastAsia="ＭＳ 明朝"/>
          <w:sz w:val="22"/>
          <w:szCs w:val="22"/>
          <w:lang w:val="en-US"/>
        </w:rPr>
        <w:t>echanisms for resource multiplexing among backhaul and access links</w:t>
      </w:r>
      <w:r w:rsidR="001012F3" w:rsidRPr="001012F3">
        <w:rPr>
          <w:rFonts w:eastAsia="ＭＳ 明朝" w:hint="eastAsia"/>
          <w:sz w:val="22"/>
          <w:szCs w:val="22"/>
          <w:lang w:val="en-US"/>
        </w:rPr>
        <w:t xml:space="preserve">. </w:t>
      </w:r>
    </w:p>
    <w:p w14:paraId="0DDCE2F2" w14:textId="02739450" w:rsidR="009517C5" w:rsidRPr="009517C5" w:rsidRDefault="00101A83" w:rsidP="009D285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D2855">
        <w:rPr>
          <w:rFonts w:eastAsia="ＭＳ 明朝"/>
          <w:b/>
          <w:bCs/>
          <w:szCs w:val="24"/>
          <w:lang w:val="en-US"/>
        </w:rPr>
        <w:t>m</w:t>
      </w:r>
      <w:r w:rsidR="009D2855" w:rsidRPr="009D2855">
        <w:rPr>
          <w:rFonts w:eastAsia="ＭＳ 明朝"/>
          <w:b/>
          <w:bCs/>
          <w:szCs w:val="24"/>
          <w:lang w:val="en-US"/>
        </w:rPr>
        <w:t>echanisms for resource multiplexing among backhaul and access links</w:t>
      </w:r>
    </w:p>
    <w:p w14:paraId="4632555E" w14:textId="720CC1A8" w:rsidR="00BB00D9" w:rsidRDefault="00BB00D9" w:rsidP="00C517C8">
      <w:pPr>
        <w:spacing w:afterLines="50" w:after="120"/>
        <w:rPr>
          <w:sz w:val="22"/>
          <w:szCs w:val="22"/>
          <w:lang w:val="en-US"/>
        </w:rPr>
      </w:pPr>
      <w:r>
        <w:rPr>
          <w:sz w:val="22"/>
          <w:szCs w:val="22"/>
          <w:lang w:val="en-US"/>
        </w:rPr>
        <w:t xml:space="preserve">During the IAB SI, </w:t>
      </w:r>
      <w:r w:rsidR="00F56A33">
        <w:rPr>
          <w:sz w:val="22"/>
          <w:szCs w:val="22"/>
          <w:lang w:val="en-US"/>
        </w:rPr>
        <w:t>scheduling and resource allocation/coordination for IAB backhaul and access links</w:t>
      </w:r>
      <w:r>
        <w:rPr>
          <w:sz w:val="22"/>
          <w:szCs w:val="22"/>
          <w:lang w:val="en-US"/>
        </w:rPr>
        <w:t xml:space="preserve"> had been discussed and following </w:t>
      </w:r>
      <w:r w:rsidR="007A1945">
        <w:rPr>
          <w:sz w:val="22"/>
          <w:szCs w:val="22"/>
          <w:lang w:val="en-US"/>
        </w:rPr>
        <w:t>resource types were identified</w:t>
      </w:r>
      <w:r>
        <w:rPr>
          <w:sz w:val="22"/>
          <w:szCs w:val="22"/>
          <w:lang w:val="en-US"/>
        </w:rPr>
        <w:t xml:space="preserve"> </w:t>
      </w:r>
      <w:r w:rsidR="007A1945">
        <w:rPr>
          <w:sz w:val="22"/>
          <w:szCs w:val="22"/>
          <w:lang w:val="en-US"/>
        </w:rPr>
        <w:t>a</w:t>
      </w:r>
      <w:r>
        <w:rPr>
          <w:sz w:val="22"/>
          <w:szCs w:val="22"/>
          <w:lang w:val="en-US"/>
        </w:rPr>
        <w:t>s captured in the TR38.874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271236C4" w14:textId="77777777" w:rsidR="007A1945" w:rsidRPr="007A1945" w:rsidRDefault="007A1945" w:rsidP="007A1945">
            <w:pPr>
              <w:rPr>
                <w:rFonts w:eastAsia="Times New Roman"/>
                <w:sz w:val="20"/>
                <w:lang w:val="en-US"/>
              </w:rPr>
            </w:pPr>
            <w:bookmarkStart w:id="3" w:name="_Hlk527574480"/>
            <w:bookmarkStart w:id="4" w:name="_Hlk527573589"/>
            <w:r w:rsidRPr="007A1945">
              <w:rPr>
                <w:rFonts w:eastAsia="Times New Roman"/>
                <w:sz w:val="20"/>
                <w:lang w:val="en-US"/>
              </w:rPr>
              <w:lastRenderedPageBreak/>
              <w:t>From an IAB-node MT point-of-view, as in Rel. 15, the following time-domain resources can be indicated for the parent link:</w:t>
            </w:r>
          </w:p>
          <w:bookmarkEnd w:id="3"/>
          <w:p w14:paraId="00CBD5EC"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Downlink time resource</w:t>
            </w:r>
            <w:r w:rsidRPr="007A1945">
              <w:rPr>
                <w:rFonts w:eastAsia="Malgun Gothic" w:hint="eastAsia"/>
                <w:sz w:val="20"/>
                <w:lang w:val="en-US" w:eastAsia="ko-KR"/>
              </w:rPr>
              <w:t>;</w:t>
            </w:r>
          </w:p>
          <w:p w14:paraId="26DA749C"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Uplink time resource</w:t>
            </w:r>
            <w:r w:rsidRPr="007A1945">
              <w:rPr>
                <w:rFonts w:eastAsia="Malgun Gothic" w:hint="eastAsia"/>
                <w:sz w:val="20"/>
                <w:lang w:val="en-US" w:eastAsia="ko-KR"/>
              </w:rPr>
              <w:t>;</w:t>
            </w:r>
          </w:p>
          <w:p w14:paraId="25B84F27"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Flexible time resource</w:t>
            </w:r>
            <w:r w:rsidRPr="007A1945">
              <w:rPr>
                <w:rFonts w:eastAsia="Malgun Gothic" w:hint="eastAsia"/>
                <w:sz w:val="20"/>
                <w:lang w:val="en-US" w:eastAsia="ko-KR"/>
              </w:rPr>
              <w:t>.</w:t>
            </w:r>
          </w:p>
          <w:bookmarkEnd w:id="4"/>
          <w:p w14:paraId="2AC15F47" w14:textId="77777777" w:rsidR="007A1945" w:rsidRPr="007A1945" w:rsidRDefault="007A1945" w:rsidP="007A1945">
            <w:pPr>
              <w:rPr>
                <w:rFonts w:eastAsia="Times New Roman"/>
                <w:sz w:val="20"/>
                <w:lang w:val="en-US"/>
              </w:rPr>
            </w:pPr>
            <w:r w:rsidRPr="007A1945">
              <w:rPr>
                <w:rFonts w:eastAsia="Times New Roman"/>
                <w:sz w:val="20"/>
                <w:lang w:val="en-US"/>
              </w:rPr>
              <w:t>From an IAB-node DU point-of-view, the child link has the following types of time resources:</w:t>
            </w:r>
          </w:p>
          <w:p w14:paraId="5770E94A"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Downlink time resource</w:t>
            </w:r>
            <w:r w:rsidRPr="007A1945">
              <w:rPr>
                <w:rFonts w:eastAsia="Malgun Gothic" w:hint="eastAsia"/>
                <w:sz w:val="20"/>
                <w:lang w:val="en-US" w:eastAsia="ko-KR"/>
              </w:rPr>
              <w:t>;</w:t>
            </w:r>
          </w:p>
          <w:p w14:paraId="21B2B0D0"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Uplink time resource</w:t>
            </w:r>
            <w:r w:rsidRPr="007A1945">
              <w:rPr>
                <w:rFonts w:eastAsia="Malgun Gothic" w:hint="eastAsia"/>
                <w:sz w:val="20"/>
                <w:lang w:val="en-US" w:eastAsia="ko-KR"/>
              </w:rPr>
              <w:t>;</w:t>
            </w:r>
          </w:p>
          <w:p w14:paraId="5F35CD2A"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Flexible time resource</w:t>
            </w:r>
            <w:r w:rsidRPr="007A1945">
              <w:rPr>
                <w:rFonts w:eastAsia="Malgun Gothic" w:hint="eastAsia"/>
                <w:sz w:val="20"/>
                <w:lang w:val="en-US" w:eastAsia="ko-KR"/>
              </w:rPr>
              <w:t>;</w:t>
            </w:r>
          </w:p>
          <w:p w14:paraId="2E0CA78A"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Not available time resources (resources not to be used for communication on the DU child links)</w:t>
            </w:r>
            <w:r w:rsidRPr="007A1945">
              <w:rPr>
                <w:rFonts w:eastAsia="Malgun Gothic" w:hint="eastAsia"/>
                <w:sz w:val="20"/>
                <w:lang w:val="en-US" w:eastAsia="ko-KR"/>
              </w:rPr>
              <w:t>.</w:t>
            </w:r>
          </w:p>
          <w:p w14:paraId="36842676" w14:textId="77777777" w:rsidR="007A1945" w:rsidRPr="007A1945" w:rsidRDefault="007A1945" w:rsidP="007A1945">
            <w:pPr>
              <w:rPr>
                <w:rFonts w:eastAsia="Times New Roman"/>
                <w:sz w:val="20"/>
                <w:lang w:val="en-US"/>
              </w:rPr>
            </w:pPr>
            <w:r w:rsidRPr="007A1945">
              <w:rPr>
                <w:rFonts w:eastAsia="Times New Roman"/>
                <w:sz w:val="20"/>
                <w:lang w:val="en-US"/>
              </w:rPr>
              <w:t>Each of the downlink, uplink and flexible time-resource types of the DU child link can belong to one of two categories:</w:t>
            </w:r>
          </w:p>
          <w:p w14:paraId="06C441BB"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Hard: The corresponding time resource is always available for the DU child link</w:t>
            </w:r>
            <w:r w:rsidRPr="007A1945">
              <w:rPr>
                <w:rFonts w:eastAsia="Malgun Gothic" w:hint="eastAsia"/>
                <w:sz w:val="20"/>
                <w:lang w:val="en-US" w:eastAsia="ko-KR"/>
              </w:rPr>
              <w:t>;</w:t>
            </w:r>
            <w:r w:rsidRPr="007A1945">
              <w:rPr>
                <w:rFonts w:eastAsia="Times New Roman"/>
                <w:sz w:val="20"/>
                <w:lang w:val="en-US" w:eastAsia="x-none"/>
              </w:rPr>
              <w:t xml:space="preserve"> </w:t>
            </w:r>
          </w:p>
          <w:p w14:paraId="33F3F970" w14:textId="645C854E" w:rsidR="00BB00D9"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Soft: The availability of the corresponding time resource for the DU child link is explicitly and/or implicitly controlled by the parent node.</w:t>
            </w:r>
          </w:p>
        </w:tc>
      </w:tr>
    </w:tbl>
    <w:p w14:paraId="7D04C7EE" w14:textId="7CC782E1" w:rsidR="00BB00D9" w:rsidRDefault="00BB00D9" w:rsidP="00C517C8">
      <w:pPr>
        <w:spacing w:afterLines="50" w:after="120"/>
        <w:rPr>
          <w:sz w:val="22"/>
          <w:szCs w:val="22"/>
          <w:lang w:val="en-US"/>
        </w:rPr>
      </w:pPr>
    </w:p>
    <w:p w14:paraId="0CF4DEFD" w14:textId="65D9E52B" w:rsidR="007A1945" w:rsidRDefault="007A1945" w:rsidP="00C517C8">
      <w:pPr>
        <w:spacing w:afterLines="50" w:after="120"/>
        <w:rPr>
          <w:sz w:val="22"/>
          <w:szCs w:val="22"/>
          <w:lang w:val="en-US"/>
        </w:rPr>
      </w:pPr>
      <w:r>
        <w:rPr>
          <w:rFonts w:hint="eastAsia"/>
          <w:sz w:val="22"/>
          <w:szCs w:val="22"/>
          <w:lang w:val="en-US"/>
        </w:rPr>
        <w:t>In</w:t>
      </w:r>
      <w:r>
        <w:rPr>
          <w:sz w:val="22"/>
          <w:szCs w:val="22"/>
          <w:lang w:val="en-US"/>
        </w:rPr>
        <w:t xml:space="preserve"> addition, following resource allocation and corresponding IAB-node MT/DU behaviors are also captured in the TR.</w:t>
      </w:r>
    </w:p>
    <w:tbl>
      <w:tblPr>
        <w:tblStyle w:val="afa"/>
        <w:tblW w:w="0" w:type="auto"/>
        <w:tblLook w:val="04A0" w:firstRow="1" w:lastRow="0" w:firstColumn="1" w:lastColumn="0" w:noHBand="0" w:noVBand="1"/>
      </w:tblPr>
      <w:tblGrid>
        <w:gridCol w:w="9962"/>
      </w:tblGrid>
      <w:tr w:rsidR="007A1945" w14:paraId="446AB47D" w14:textId="77777777" w:rsidTr="007A1945">
        <w:tc>
          <w:tcPr>
            <w:tcW w:w="9962" w:type="dxa"/>
          </w:tcPr>
          <w:p w14:paraId="3960CBB6" w14:textId="77777777" w:rsidR="007A1945" w:rsidRPr="007A1945" w:rsidRDefault="007A1945" w:rsidP="007A1945">
            <w:pPr>
              <w:spacing w:before="60" w:after="120"/>
              <w:jc w:val="both"/>
              <w:rPr>
                <w:rFonts w:eastAsia="Times New Roman"/>
                <w:sz w:val="20"/>
                <w:lang w:val="en-US"/>
              </w:rPr>
            </w:pPr>
            <w:r w:rsidRPr="007A1945">
              <w:rPr>
                <w:rFonts w:eastAsia="Times New Roman"/>
                <w:sz w:val="20"/>
                <w:lang w:val="en-US"/>
              </w:rPr>
              <w:t xml:space="preserve">In order to support mechanisms for resource allocation for IAB-nodes, semi-static configuration is supported for the configuration of IAB-node DU resources. In addition, dynamic indication (L1 </w:t>
            </w:r>
            <w:proofErr w:type="spellStart"/>
            <w:r w:rsidRPr="007A1945">
              <w:rPr>
                <w:rFonts w:eastAsia="Times New Roman"/>
                <w:sz w:val="20"/>
                <w:lang w:val="en-US"/>
              </w:rPr>
              <w:t>signalling</w:t>
            </w:r>
            <w:proofErr w:type="spellEnd"/>
            <w:r w:rsidRPr="007A1945">
              <w:rPr>
                <w:rFonts w:eastAsia="Times New Roman"/>
                <w:sz w:val="20"/>
                <w:lang w:val="en-US"/>
              </w:rPr>
              <w:t xml:space="preserve">) to an IAB-node of the availability of soft resources for an IAB-node DU is supported. Existing Rel.15 L1 </w:t>
            </w:r>
            <w:proofErr w:type="spellStart"/>
            <w:r w:rsidRPr="007A1945">
              <w:rPr>
                <w:rFonts w:eastAsia="Times New Roman"/>
                <w:sz w:val="20"/>
                <w:lang w:val="en-US"/>
              </w:rPr>
              <w:t>signalling</w:t>
            </w:r>
            <w:proofErr w:type="spellEnd"/>
            <w:r w:rsidRPr="007A1945">
              <w:rPr>
                <w:rFonts w:eastAsia="Times New Roman"/>
                <w:sz w:val="20"/>
                <w:lang w:val="en-US"/>
              </w:rPr>
              <w:t xml:space="preserve"> methods as the baseline, while potential enhancements (e.g. new slot formats), rules for DU/MT </w:t>
            </w:r>
            <w:proofErr w:type="spellStart"/>
            <w:r w:rsidRPr="007A1945">
              <w:rPr>
                <w:rFonts w:eastAsia="Times New Roman"/>
                <w:sz w:val="20"/>
                <w:lang w:val="en-US"/>
              </w:rPr>
              <w:t>behaviour</w:t>
            </w:r>
            <w:proofErr w:type="spellEnd"/>
            <w:r w:rsidRPr="007A1945">
              <w:rPr>
                <w:rFonts w:eastAsia="Times New Roman"/>
                <w:sz w:val="20"/>
                <w:lang w:val="en-US"/>
              </w:rPr>
              <w:t xml:space="preserve"> in case of conflicts across multiple hops, and processing time constraints at the IAB-node may need to be considered.</w:t>
            </w:r>
          </w:p>
          <w:p w14:paraId="5173D870" w14:textId="77777777" w:rsidR="007A1945" w:rsidRPr="007A1945" w:rsidRDefault="007A1945" w:rsidP="007A1945">
            <w:pPr>
              <w:rPr>
                <w:rFonts w:eastAsia="Times New Roman"/>
                <w:sz w:val="20"/>
                <w:lang w:val="en-US"/>
              </w:rPr>
            </w:pPr>
            <w:bookmarkStart w:id="5" w:name="_Hlk531086285"/>
            <w:r w:rsidRPr="007A1945">
              <w:rPr>
                <w:rFonts w:eastAsia="Times New Roman"/>
                <w:sz w:val="20"/>
                <w:lang w:val="en-US"/>
              </w:rPr>
              <w:t>Tables 7.3.3-1 and 7.3.3-2 capture the possible combinations of DU and MT behavior. The tables assume an IAB not capable of full-duplex operation</w:t>
            </w:r>
            <w:r w:rsidRPr="007A1945">
              <w:rPr>
                <w:rFonts w:eastAsia="Malgun Gothic" w:hint="eastAsia"/>
                <w:sz w:val="20"/>
                <w:lang w:val="en-US" w:eastAsia="ko-KR"/>
              </w:rPr>
              <w:t>.</w:t>
            </w:r>
            <w:r w:rsidRPr="007A1945">
              <w:rPr>
                <w:rFonts w:eastAsia="Malgun Gothic"/>
                <w:sz w:val="20"/>
                <w:lang w:val="en-US" w:eastAsia="ko-KR"/>
              </w:rPr>
              <w:t xml:space="preserve"> </w:t>
            </w:r>
            <w:r w:rsidRPr="007A1945">
              <w:rPr>
                <w:rFonts w:eastAsia="Times New Roman"/>
                <w:sz w:val="20"/>
                <w:lang w:val="en-US"/>
              </w:rPr>
              <w:t xml:space="preserve">In the tables below the following definitions apply: </w:t>
            </w:r>
          </w:p>
          <w:bookmarkEnd w:id="5"/>
          <w:p w14:paraId="644319ED"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 xml:space="preserve">“MT: </w:t>
            </w:r>
            <w:proofErr w:type="spellStart"/>
            <w:r w:rsidRPr="007A1945">
              <w:rPr>
                <w:rFonts w:eastAsia="Times New Roman"/>
                <w:sz w:val="20"/>
                <w:lang w:val="en-US" w:eastAsia="x-none"/>
              </w:rPr>
              <w:t>Tx</w:t>
            </w:r>
            <w:proofErr w:type="spellEnd"/>
            <w:r w:rsidRPr="007A1945">
              <w:rPr>
                <w:rFonts w:eastAsia="Times New Roman"/>
                <w:sz w:val="20"/>
                <w:lang w:val="en-US" w:eastAsia="x-none"/>
              </w:rPr>
              <w:t>” means that the MT should transmit if scheduled</w:t>
            </w:r>
            <w:r w:rsidRPr="007A1945">
              <w:rPr>
                <w:rFonts w:eastAsia="Malgun Gothic" w:hint="eastAsia"/>
                <w:sz w:val="20"/>
                <w:lang w:val="en-US" w:eastAsia="ko-KR"/>
              </w:rPr>
              <w:t>;</w:t>
            </w:r>
            <w:r w:rsidRPr="007A1945">
              <w:rPr>
                <w:rFonts w:eastAsia="Times New Roman"/>
                <w:sz w:val="20"/>
                <w:lang w:val="en-US" w:eastAsia="x-none"/>
              </w:rPr>
              <w:t xml:space="preserve"> </w:t>
            </w:r>
          </w:p>
          <w:p w14:paraId="7D467FBF"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 xml:space="preserve">“DU: </w:t>
            </w:r>
            <w:proofErr w:type="spellStart"/>
            <w:r w:rsidRPr="007A1945">
              <w:rPr>
                <w:rFonts w:eastAsia="Times New Roman"/>
                <w:sz w:val="20"/>
                <w:lang w:val="en-US" w:eastAsia="x-none"/>
              </w:rPr>
              <w:t>Tx</w:t>
            </w:r>
            <w:proofErr w:type="spellEnd"/>
            <w:r w:rsidRPr="007A1945">
              <w:rPr>
                <w:rFonts w:eastAsia="Times New Roman"/>
                <w:sz w:val="20"/>
                <w:lang w:val="en-US" w:eastAsia="x-none"/>
              </w:rPr>
              <w:t>” means that the DU may transmit</w:t>
            </w:r>
            <w:r w:rsidRPr="007A1945">
              <w:rPr>
                <w:rFonts w:eastAsia="Malgun Gothic" w:hint="eastAsia"/>
                <w:sz w:val="20"/>
                <w:lang w:val="en-US" w:eastAsia="ko-KR"/>
              </w:rPr>
              <w:t>;</w:t>
            </w:r>
          </w:p>
          <w:p w14:paraId="149FBCBF"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“MT: Rx” means that the MT should be able to receive (if there is anything to receive)</w:t>
            </w:r>
            <w:r w:rsidRPr="007A1945">
              <w:rPr>
                <w:rFonts w:eastAsia="Malgun Gothic" w:hint="eastAsia"/>
                <w:sz w:val="20"/>
                <w:lang w:val="en-US" w:eastAsia="ko-KR"/>
              </w:rPr>
              <w:t>;</w:t>
            </w:r>
          </w:p>
          <w:p w14:paraId="4F18B6B0"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“DU: Rx” means that the DU may schedule uplink transmissions from child nodes or UEs</w:t>
            </w:r>
            <w:r w:rsidRPr="007A1945">
              <w:rPr>
                <w:rFonts w:eastAsia="Malgun Gothic" w:hint="eastAsia"/>
                <w:sz w:val="20"/>
                <w:lang w:val="en-US" w:eastAsia="ko-KR"/>
              </w:rPr>
              <w:t>;</w:t>
            </w:r>
          </w:p>
          <w:p w14:paraId="02256CD6"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 xml:space="preserve">“MT: </w:t>
            </w:r>
            <w:proofErr w:type="spellStart"/>
            <w:r w:rsidRPr="007A1945">
              <w:rPr>
                <w:rFonts w:eastAsia="Times New Roman"/>
                <w:sz w:val="20"/>
                <w:lang w:val="en-US" w:eastAsia="x-none"/>
              </w:rPr>
              <w:t>Tx</w:t>
            </w:r>
            <w:proofErr w:type="spellEnd"/>
            <w:r w:rsidRPr="007A1945">
              <w:rPr>
                <w:rFonts w:eastAsia="Times New Roman"/>
                <w:sz w:val="20"/>
                <w:lang w:val="en-US" w:eastAsia="x-none"/>
              </w:rPr>
              <w:t>/Rx” means that the MT should transmit if scheduled and should be able to receive, but not simultaneously</w:t>
            </w:r>
            <w:r w:rsidRPr="007A1945">
              <w:rPr>
                <w:rFonts w:eastAsia="Malgun Gothic" w:hint="eastAsia"/>
                <w:sz w:val="20"/>
                <w:lang w:val="en-US" w:eastAsia="ko-KR"/>
              </w:rPr>
              <w:t>;</w:t>
            </w:r>
          </w:p>
          <w:p w14:paraId="70CCFA9F"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 xml:space="preserve">“DU: </w:t>
            </w:r>
            <w:proofErr w:type="spellStart"/>
            <w:r w:rsidRPr="007A1945">
              <w:rPr>
                <w:rFonts w:eastAsia="Times New Roman"/>
                <w:sz w:val="20"/>
                <w:lang w:val="en-US" w:eastAsia="x-none"/>
              </w:rPr>
              <w:t>Tx</w:t>
            </w:r>
            <w:proofErr w:type="spellEnd"/>
            <w:r w:rsidRPr="007A1945">
              <w:rPr>
                <w:rFonts w:eastAsia="Times New Roman"/>
                <w:sz w:val="20"/>
                <w:lang w:val="en-US" w:eastAsia="x-none"/>
              </w:rPr>
              <w:t>/Rx” means that the DU may transmit and may schedule uplink transmission from child nodes and UEs, but not simultaneously</w:t>
            </w:r>
            <w:r w:rsidRPr="007A1945">
              <w:rPr>
                <w:rFonts w:eastAsia="Malgun Gothic" w:hint="eastAsia"/>
                <w:sz w:val="20"/>
                <w:lang w:val="en-US" w:eastAsia="ko-KR"/>
              </w:rPr>
              <w:t>;</w:t>
            </w:r>
          </w:p>
          <w:p w14:paraId="02B79E67"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“IA” means that the DU resource is explicitly or implicitly indicated as available</w:t>
            </w:r>
            <w:r w:rsidRPr="007A1945">
              <w:rPr>
                <w:rFonts w:eastAsia="Malgun Gothic" w:hint="eastAsia"/>
                <w:sz w:val="20"/>
                <w:lang w:val="en-US" w:eastAsia="ko-KR"/>
              </w:rPr>
              <w:t>;</w:t>
            </w:r>
          </w:p>
          <w:p w14:paraId="59448A8A"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“INA” means that the DU resource is explicitly or implicitly indicated as not available</w:t>
            </w:r>
            <w:r w:rsidRPr="007A1945">
              <w:rPr>
                <w:rFonts w:eastAsia="Malgun Gothic" w:hint="eastAsia"/>
                <w:sz w:val="20"/>
                <w:lang w:val="en-US" w:eastAsia="ko-KR"/>
              </w:rPr>
              <w:t>;</w:t>
            </w:r>
          </w:p>
          <w:p w14:paraId="3583C805"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“MT: NULL” means that the MT does not transmit and does not have to be able to receive</w:t>
            </w:r>
            <w:r w:rsidRPr="007A1945">
              <w:rPr>
                <w:rFonts w:eastAsia="Malgun Gothic" w:hint="eastAsia"/>
                <w:sz w:val="20"/>
                <w:lang w:val="en-US" w:eastAsia="ko-KR"/>
              </w:rPr>
              <w:t>;</w:t>
            </w:r>
          </w:p>
          <w:p w14:paraId="1B9D4A46"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“DU: NULL” means that the DU does not transmit and does not schedule uplink transmission from child nodes and UEs</w:t>
            </w:r>
            <w:r w:rsidRPr="007A1945">
              <w:rPr>
                <w:rFonts w:eastAsia="Malgun Gothic" w:hint="eastAsia"/>
                <w:sz w:val="20"/>
                <w:lang w:val="en-US" w:eastAsia="ko-KR"/>
              </w:rPr>
              <w:t>.</w:t>
            </w:r>
          </w:p>
          <w:p w14:paraId="7C372CD4" w14:textId="77777777" w:rsidR="007A1945" w:rsidRPr="007A1945" w:rsidRDefault="007A1945" w:rsidP="007A1945">
            <w:pPr>
              <w:rPr>
                <w:rFonts w:eastAsia="Times New Roman"/>
                <w:sz w:val="20"/>
                <w:lang w:val="en-US"/>
              </w:rPr>
            </w:pPr>
            <w:bookmarkStart w:id="6" w:name="_Hlk530062093"/>
            <w:r w:rsidRPr="007A1945">
              <w:rPr>
                <w:rFonts w:eastAsia="Times New Roman"/>
                <w:sz w:val="20"/>
                <w:lang w:val="en-US"/>
              </w:rPr>
              <w:t xml:space="preserve">Table 7.3.3-1 </w:t>
            </w:r>
            <w:bookmarkEnd w:id="6"/>
            <w:r w:rsidRPr="007A1945">
              <w:rPr>
                <w:rFonts w:eastAsia="Times New Roman"/>
                <w:sz w:val="20"/>
                <w:lang w:val="en-US"/>
              </w:rPr>
              <w:t>applies in case of TDM operation, where there can be no simultaneous transmission in the DU and the MT, nor any simultaneous reception in the DU and the MT.</w:t>
            </w:r>
          </w:p>
          <w:p w14:paraId="6BBFB334" w14:textId="77777777" w:rsidR="007A1945" w:rsidRPr="007A1945" w:rsidRDefault="007A1945" w:rsidP="007A1945">
            <w:pPr>
              <w:keepNext/>
              <w:keepLines/>
              <w:spacing w:before="60"/>
              <w:jc w:val="center"/>
              <w:rPr>
                <w:rFonts w:ascii="Arial" w:eastAsia="Times New Roman" w:hAnsi="Arial"/>
                <w:b/>
                <w:sz w:val="20"/>
                <w:lang w:val="en-US"/>
              </w:rPr>
            </w:pPr>
            <w:r w:rsidRPr="007A1945">
              <w:rPr>
                <w:rFonts w:ascii="Arial" w:eastAsia="Times New Roman" w:hAnsi="Arial"/>
                <w:b/>
                <w:sz w:val="20"/>
                <w:lang w:val="en-US"/>
              </w:rPr>
              <w:lastRenderedPageBreak/>
              <w:t>Table 7.3.3-1:</w:t>
            </w:r>
            <w:r w:rsidRPr="007A1945">
              <w:rPr>
                <w:rFonts w:ascii="Arial" w:eastAsia="Times New Roman" w:hAnsi="Arial"/>
                <w:b/>
                <w:sz w:val="20"/>
              </w:rPr>
              <w:t xml:space="preserve"> </w:t>
            </w:r>
            <w:r w:rsidRPr="007A1945">
              <w:rPr>
                <w:rFonts w:ascii="Arial" w:eastAsia="Times New Roman" w:hAnsi="Arial"/>
                <w:b/>
                <w:sz w:val="20"/>
                <w:lang w:val="en-US"/>
              </w:rPr>
              <w:t xml:space="preserve">DU and MT behavior in case of TDM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615"/>
              <w:gridCol w:w="2875"/>
              <w:gridCol w:w="2691"/>
            </w:tblGrid>
            <w:tr w:rsidR="007A1945" w:rsidRPr="007A1945" w14:paraId="384C0BA6" w14:textId="77777777" w:rsidTr="001840D4">
              <w:tc>
                <w:tcPr>
                  <w:tcW w:w="1572" w:type="dxa"/>
                  <w:vMerge w:val="restart"/>
                  <w:tcBorders>
                    <w:top w:val="single" w:sz="4" w:space="0" w:color="auto"/>
                    <w:left w:val="single" w:sz="4" w:space="0" w:color="auto"/>
                    <w:right w:val="single" w:sz="4" w:space="0" w:color="auto"/>
                  </w:tcBorders>
                  <w:shd w:val="clear" w:color="auto" w:fill="auto"/>
                </w:tcPr>
                <w:p w14:paraId="344ACB33"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r w:rsidRPr="007A1945">
                    <w:rPr>
                      <w:rFonts w:ascii="Arial" w:eastAsia="Malgun Gothic" w:hAnsi="Arial"/>
                      <w:b/>
                      <w:sz w:val="18"/>
                      <w:lang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3462405D"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r w:rsidRPr="007A1945">
                    <w:rPr>
                      <w:rFonts w:ascii="Arial" w:eastAsia="Malgun Gothic" w:hAnsi="Arial"/>
                      <w:b/>
                      <w:sz w:val="18"/>
                      <w:lang w:eastAsia="ko-KR"/>
                    </w:rPr>
                    <w:t>MT configuration</w:t>
                  </w:r>
                </w:p>
              </w:tc>
            </w:tr>
            <w:tr w:rsidR="007A1945" w:rsidRPr="007A1945" w14:paraId="205B6C9B" w14:textId="77777777" w:rsidTr="001840D4">
              <w:tc>
                <w:tcPr>
                  <w:tcW w:w="1572" w:type="dxa"/>
                  <w:vMerge/>
                  <w:tcBorders>
                    <w:left w:val="single" w:sz="4" w:space="0" w:color="auto"/>
                    <w:bottom w:val="single" w:sz="4" w:space="0" w:color="auto"/>
                    <w:right w:val="single" w:sz="4" w:space="0" w:color="auto"/>
                  </w:tcBorders>
                  <w:shd w:val="clear" w:color="auto" w:fill="auto"/>
                  <w:hideMark/>
                </w:tcPr>
                <w:p w14:paraId="5867AD4E"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1C70668D"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r w:rsidRPr="007A1945">
                    <w:rPr>
                      <w:rFonts w:ascii="Arial" w:eastAsia="Malgun Gothic" w:hAnsi="Arial"/>
                      <w:b/>
                      <w:sz w:val="18"/>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1F1AE134"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r w:rsidRPr="007A1945">
                    <w:rPr>
                      <w:rFonts w:ascii="Arial" w:eastAsia="Malgun Gothic" w:hAnsi="Arial"/>
                      <w:b/>
                      <w:sz w:val="18"/>
                      <w:lang w:eastAsia="ko-KR"/>
                    </w:rPr>
                    <w:t>UL</w:t>
                  </w:r>
                </w:p>
              </w:tc>
              <w:tc>
                <w:tcPr>
                  <w:tcW w:w="2868" w:type="dxa"/>
                  <w:tcBorders>
                    <w:top w:val="single" w:sz="4" w:space="0" w:color="auto"/>
                    <w:left w:val="single" w:sz="4" w:space="0" w:color="auto"/>
                    <w:bottom w:val="single" w:sz="4" w:space="0" w:color="auto"/>
                    <w:right w:val="single" w:sz="4" w:space="0" w:color="auto"/>
                  </w:tcBorders>
                </w:tcPr>
                <w:p w14:paraId="653E4149"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r w:rsidRPr="007A1945">
                    <w:rPr>
                      <w:rFonts w:ascii="Arial" w:eastAsia="Malgun Gothic" w:hAnsi="Arial"/>
                      <w:b/>
                      <w:sz w:val="18"/>
                      <w:lang w:eastAsia="ko-KR"/>
                    </w:rPr>
                    <w:t>F</w:t>
                  </w:r>
                </w:p>
              </w:tc>
            </w:tr>
            <w:tr w:rsidR="007A1945" w:rsidRPr="007A1945" w14:paraId="6B857E09" w14:textId="77777777" w:rsidTr="001840D4">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E623D0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9CC947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DU: </w:t>
                  </w:r>
                  <w:proofErr w:type="spellStart"/>
                  <w:r w:rsidRPr="007A1945">
                    <w:rPr>
                      <w:rFonts w:ascii="Arial" w:eastAsia="Malgun Gothic" w:hAnsi="Arial"/>
                      <w:sz w:val="18"/>
                      <w:lang w:eastAsia="ko-KR"/>
                    </w:rPr>
                    <w:t>Tx</w:t>
                  </w:r>
                  <w:proofErr w:type="spellEnd"/>
                </w:p>
                <w:p w14:paraId="48680EA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B07788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DU: </w:t>
                  </w:r>
                  <w:proofErr w:type="spellStart"/>
                  <w:r w:rsidRPr="007A1945">
                    <w:rPr>
                      <w:rFonts w:ascii="Arial" w:eastAsia="Malgun Gothic" w:hAnsi="Arial"/>
                      <w:sz w:val="18"/>
                      <w:lang w:eastAsia="ko-KR"/>
                    </w:rPr>
                    <w:t>Tx</w:t>
                  </w:r>
                  <w:proofErr w:type="spellEnd"/>
                </w:p>
                <w:p w14:paraId="48A6EA8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467FBB3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DU: </w:t>
                  </w:r>
                  <w:proofErr w:type="spellStart"/>
                  <w:r w:rsidRPr="007A1945">
                    <w:rPr>
                      <w:rFonts w:ascii="Arial" w:eastAsia="Malgun Gothic" w:hAnsi="Arial"/>
                      <w:sz w:val="18"/>
                      <w:lang w:eastAsia="ko-KR"/>
                    </w:rPr>
                    <w:t>Tx</w:t>
                  </w:r>
                  <w:proofErr w:type="spellEnd"/>
                </w:p>
                <w:p w14:paraId="2D3F2BF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r>
            <w:tr w:rsidR="007A1945" w:rsidRPr="007A1945" w14:paraId="5566F37C" w14:textId="77777777" w:rsidTr="001840D4">
              <w:tc>
                <w:tcPr>
                  <w:tcW w:w="1572" w:type="dxa"/>
                  <w:tcBorders>
                    <w:top w:val="single" w:sz="4" w:space="0" w:color="auto"/>
                    <w:left w:val="single" w:sz="4" w:space="0" w:color="auto"/>
                    <w:bottom w:val="single" w:sz="4" w:space="0" w:color="auto"/>
                    <w:right w:val="single" w:sz="4" w:space="0" w:color="auto"/>
                  </w:tcBorders>
                  <w:shd w:val="clear" w:color="auto" w:fill="auto"/>
                </w:tcPr>
                <w:p w14:paraId="7B41160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AF7070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41D4599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Tx </w:t>
                  </w:r>
                </w:p>
                <w:p w14:paraId="0A7E312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MT: NULL </w:t>
                  </w:r>
                </w:p>
                <w:p w14:paraId="26316916"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b/>
                      <w:sz w:val="18"/>
                      <w:lang w:val="sv-SE" w:eastAsia="ko-KR"/>
                    </w:rPr>
                  </w:pPr>
                </w:p>
                <w:p w14:paraId="50992D6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1F6EF1E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7E42001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509FA13"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2ACB79A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Tx </w:t>
                  </w:r>
                </w:p>
                <w:p w14:paraId="5B06D1D6"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2FACD43D"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b/>
                      <w:sz w:val="18"/>
                      <w:lang w:val="sv-SE" w:eastAsia="ko-KR"/>
                    </w:rPr>
                  </w:pPr>
                </w:p>
                <w:p w14:paraId="1456E54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64A79D3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0D46B2C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MT: </w:t>
                  </w:r>
                  <w:proofErr w:type="spellStart"/>
                  <w:r w:rsidRPr="007A1945">
                    <w:rPr>
                      <w:rFonts w:ascii="Arial" w:eastAsia="Malgun Gothic" w:hAnsi="Arial"/>
                      <w:sz w:val="18"/>
                      <w:lang w:eastAsia="ko-KR"/>
                    </w:rPr>
                    <w:t>Tx</w:t>
                  </w:r>
                  <w:proofErr w:type="spellEnd"/>
                </w:p>
              </w:tc>
              <w:tc>
                <w:tcPr>
                  <w:tcW w:w="2868" w:type="dxa"/>
                  <w:tcBorders>
                    <w:top w:val="single" w:sz="4" w:space="0" w:color="auto"/>
                    <w:left w:val="single" w:sz="4" w:space="0" w:color="auto"/>
                    <w:bottom w:val="single" w:sz="4" w:space="0" w:color="auto"/>
                    <w:right w:val="single" w:sz="4" w:space="0" w:color="auto"/>
                  </w:tcBorders>
                </w:tcPr>
                <w:p w14:paraId="6C4447F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1288BA6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Tx </w:t>
                  </w:r>
                </w:p>
                <w:p w14:paraId="2262B5D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3FE6BF1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123DA1DC"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617739DB"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35F36498"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MT: </w:t>
                  </w:r>
                  <w:proofErr w:type="spellStart"/>
                  <w:r w:rsidRPr="007A1945">
                    <w:rPr>
                      <w:rFonts w:ascii="Arial" w:eastAsia="Malgun Gothic" w:hAnsi="Arial"/>
                      <w:sz w:val="18"/>
                      <w:lang w:eastAsia="ko-KR"/>
                    </w:rPr>
                    <w:t>Tx</w:t>
                  </w:r>
                  <w:proofErr w:type="spellEnd"/>
                  <w:r w:rsidRPr="007A1945">
                    <w:rPr>
                      <w:rFonts w:ascii="Arial" w:eastAsia="Malgun Gothic" w:hAnsi="Arial"/>
                      <w:sz w:val="18"/>
                      <w:lang w:eastAsia="ko-KR"/>
                    </w:rPr>
                    <w:t>/Rx</w:t>
                  </w:r>
                </w:p>
              </w:tc>
            </w:tr>
            <w:tr w:rsidR="007A1945" w:rsidRPr="007A1945" w14:paraId="0CCB6859" w14:textId="77777777" w:rsidTr="001840D4">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997B4D6"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C0158F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Rx</w:t>
                  </w:r>
                </w:p>
                <w:p w14:paraId="5ABE28A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C29BE4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Rx</w:t>
                  </w:r>
                </w:p>
                <w:p w14:paraId="78753AB9"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445ACD5C"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Rx</w:t>
                  </w:r>
                </w:p>
                <w:p w14:paraId="6A85098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MT: NULL </w:t>
                  </w:r>
                </w:p>
              </w:tc>
            </w:tr>
            <w:tr w:rsidR="007A1945" w:rsidRPr="007A1945" w14:paraId="79DF5C78" w14:textId="77777777" w:rsidTr="001840D4">
              <w:tc>
                <w:tcPr>
                  <w:tcW w:w="1572" w:type="dxa"/>
                  <w:tcBorders>
                    <w:top w:val="single" w:sz="4" w:space="0" w:color="auto"/>
                    <w:left w:val="single" w:sz="4" w:space="0" w:color="auto"/>
                    <w:bottom w:val="single" w:sz="4" w:space="0" w:color="auto"/>
                    <w:right w:val="single" w:sz="4" w:space="0" w:color="auto"/>
                  </w:tcBorders>
                  <w:shd w:val="clear" w:color="auto" w:fill="auto"/>
                </w:tcPr>
                <w:p w14:paraId="726ECBD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F8DCE38"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1E2D044D"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Rx </w:t>
                  </w:r>
                </w:p>
                <w:p w14:paraId="400ABC2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76E167F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405DED88"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6E6E57D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1A2CC05B"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1DC103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3267E24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Rx </w:t>
                  </w:r>
                </w:p>
                <w:p w14:paraId="5661A4A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7AF5633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32ED288D"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4F3979C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6B015E8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MT: </w:t>
                  </w:r>
                  <w:proofErr w:type="spellStart"/>
                  <w:r w:rsidRPr="007A1945">
                    <w:rPr>
                      <w:rFonts w:ascii="Arial" w:eastAsia="Malgun Gothic" w:hAnsi="Arial"/>
                      <w:sz w:val="18"/>
                      <w:lang w:eastAsia="ko-KR"/>
                    </w:rPr>
                    <w:t>Tx</w:t>
                  </w:r>
                  <w:proofErr w:type="spellEnd"/>
                </w:p>
              </w:tc>
              <w:tc>
                <w:tcPr>
                  <w:tcW w:w="2868" w:type="dxa"/>
                  <w:tcBorders>
                    <w:top w:val="single" w:sz="4" w:space="0" w:color="auto"/>
                    <w:left w:val="single" w:sz="4" w:space="0" w:color="auto"/>
                    <w:bottom w:val="single" w:sz="4" w:space="0" w:color="auto"/>
                    <w:right w:val="single" w:sz="4" w:space="0" w:color="auto"/>
                  </w:tcBorders>
                </w:tcPr>
                <w:p w14:paraId="2E93F9F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7DEA71D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Rx </w:t>
                  </w:r>
                </w:p>
                <w:p w14:paraId="261E4CE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73780C4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5F7D11DB"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5C22F2C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43C8653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MT: </w:t>
                  </w:r>
                  <w:proofErr w:type="spellStart"/>
                  <w:r w:rsidRPr="007A1945">
                    <w:rPr>
                      <w:rFonts w:ascii="Arial" w:eastAsia="Malgun Gothic" w:hAnsi="Arial"/>
                      <w:sz w:val="18"/>
                      <w:lang w:eastAsia="ko-KR"/>
                    </w:rPr>
                    <w:t>Tx</w:t>
                  </w:r>
                  <w:proofErr w:type="spellEnd"/>
                  <w:r w:rsidRPr="007A1945">
                    <w:rPr>
                      <w:rFonts w:ascii="Arial" w:eastAsia="Malgun Gothic" w:hAnsi="Arial"/>
                      <w:sz w:val="18"/>
                      <w:lang w:eastAsia="ko-KR"/>
                    </w:rPr>
                    <w:t>/Rx</w:t>
                  </w:r>
                </w:p>
              </w:tc>
            </w:tr>
            <w:tr w:rsidR="007A1945" w:rsidRPr="007A1945" w14:paraId="078140D7" w14:textId="77777777" w:rsidTr="001840D4">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08EB6CF8"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AC025DB"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DU: </w:t>
                  </w:r>
                  <w:proofErr w:type="spellStart"/>
                  <w:r w:rsidRPr="007A1945">
                    <w:rPr>
                      <w:rFonts w:ascii="Arial" w:eastAsia="Malgun Gothic" w:hAnsi="Arial"/>
                      <w:sz w:val="18"/>
                      <w:lang w:eastAsia="ko-KR"/>
                    </w:rPr>
                    <w:t>Tx</w:t>
                  </w:r>
                  <w:proofErr w:type="spellEnd"/>
                  <w:r w:rsidRPr="007A1945">
                    <w:rPr>
                      <w:rFonts w:ascii="Arial" w:eastAsia="Malgun Gothic" w:hAnsi="Arial"/>
                      <w:sz w:val="18"/>
                      <w:lang w:eastAsia="ko-KR"/>
                    </w:rPr>
                    <w:t>/Rx</w:t>
                  </w:r>
                </w:p>
                <w:p w14:paraId="4879328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C934093"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DU: </w:t>
                  </w:r>
                  <w:proofErr w:type="spellStart"/>
                  <w:r w:rsidRPr="007A1945">
                    <w:rPr>
                      <w:rFonts w:ascii="Arial" w:eastAsia="Malgun Gothic" w:hAnsi="Arial"/>
                      <w:sz w:val="18"/>
                      <w:lang w:eastAsia="ko-KR"/>
                    </w:rPr>
                    <w:t>Tx</w:t>
                  </w:r>
                  <w:proofErr w:type="spellEnd"/>
                  <w:r w:rsidRPr="007A1945">
                    <w:rPr>
                      <w:rFonts w:ascii="Arial" w:eastAsia="Malgun Gothic" w:hAnsi="Arial"/>
                      <w:sz w:val="18"/>
                      <w:lang w:eastAsia="ko-KR"/>
                    </w:rPr>
                    <w:t>/Rx</w:t>
                  </w:r>
                </w:p>
                <w:p w14:paraId="68212CB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BBCE568"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DU: </w:t>
                  </w:r>
                  <w:proofErr w:type="spellStart"/>
                  <w:r w:rsidRPr="007A1945">
                    <w:rPr>
                      <w:rFonts w:ascii="Arial" w:eastAsia="Malgun Gothic" w:hAnsi="Arial"/>
                      <w:sz w:val="18"/>
                      <w:lang w:eastAsia="ko-KR"/>
                    </w:rPr>
                    <w:t>Tx</w:t>
                  </w:r>
                  <w:proofErr w:type="spellEnd"/>
                  <w:r w:rsidRPr="007A1945">
                    <w:rPr>
                      <w:rFonts w:ascii="Arial" w:eastAsia="Malgun Gothic" w:hAnsi="Arial"/>
                      <w:sz w:val="18"/>
                      <w:lang w:eastAsia="ko-KR"/>
                    </w:rPr>
                    <w:t>/Rx</w:t>
                  </w:r>
                </w:p>
                <w:p w14:paraId="78B9B5D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r>
            <w:tr w:rsidR="007A1945" w:rsidRPr="007A1945" w14:paraId="4D2D5E18" w14:textId="77777777" w:rsidTr="001840D4">
              <w:tc>
                <w:tcPr>
                  <w:tcW w:w="1572" w:type="dxa"/>
                  <w:tcBorders>
                    <w:top w:val="single" w:sz="4" w:space="0" w:color="auto"/>
                    <w:left w:val="single" w:sz="4" w:space="0" w:color="auto"/>
                    <w:bottom w:val="single" w:sz="4" w:space="0" w:color="auto"/>
                    <w:right w:val="single" w:sz="4" w:space="0" w:color="auto"/>
                  </w:tcBorders>
                  <w:shd w:val="clear" w:color="auto" w:fill="auto"/>
                </w:tcPr>
                <w:p w14:paraId="04A11BD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3B61FF6"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6CF4E8D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Tx/Rx </w:t>
                  </w:r>
                </w:p>
                <w:p w14:paraId="0A94B2E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MT: </w:t>
                  </w:r>
                  <w:r w:rsidRPr="007A1945">
                    <w:rPr>
                      <w:rFonts w:ascii="Arial" w:eastAsia="Malgun Gothic" w:hAnsi="Arial"/>
                      <w:sz w:val="18"/>
                      <w:lang w:eastAsia="ko-KR"/>
                    </w:rPr>
                    <w:t>NULL</w:t>
                  </w:r>
                </w:p>
                <w:p w14:paraId="05A12B0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12FB975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58E98D2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NULL</w:t>
                  </w:r>
                </w:p>
                <w:p w14:paraId="12D8822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707125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0556DE69"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Tx/Rx</w:t>
                  </w:r>
                </w:p>
                <w:p w14:paraId="709F16F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2241041C"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33475BB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5397835B"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NULL</w:t>
                  </w:r>
                </w:p>
                <w:p w14:paraId="7697132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MT: </w:t>
                  </w:r>
                  <w:proofErr w:type="spellStart"/>
                  <w:r w:rsidRPr="007A1945">
                    <w:rPr>
                      <w:rFonts w:ascii="Arial" w:eastAsia="Malgun Gothic" w:hAnsi="Arial"/>
                      <w:sz w:val="18"/>
                      <w:lang w:eastAsia="ko-KR"/>
                    </w:rPr>
                    <w:t>Tx</w:t>
                  </w:r>
                  <w:proofErr w:type="spellEnd"/>
                </w:p>
              </w:tc>
              <w:tc>
                <w:tcPr>
                  <w:tcW w:w="2868" w:type="dxa"/>
                  <w:tcBorders>
                    <w:top w:val="single" w:sz="4" w:space="0" w:color="auto"/>
                    <w:left w:val="single" w:sz="4" w:space="0" w:color="auto"/>
                    <w:bottom w:val="single" w:sz="4" w:space="0" w:color="auto"/>
                    <w:right w:val="single" w:sz="4" w:space="0" w:color="auto"/>
                  </w:tcBorders>
                </w:tcPr>
                <w:p w14:paraId="1CC67186"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03FDD78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Tx/Rx </w:t>
                  </w:r>
                </w:p>
                <w:p w14:paraId="3C432D1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7824ADC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322BABD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506D5829"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0DDC080C"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Tx/Rx</w:t>
                  </w:r>
                </w:p>
              </w:tc>
            </w:tr>
            <w:tr w:rsidR="007A1945" w:rsidRPr="007A1945" w14:paraId="6B6EF04A" w14:textId="77777777" w:rsidTr="001840D4">
              <w:tc>
                <w:tcPr>
                  <w:tcW w:w="1572" w:type="dxa"/>
                  <w:tcBorders>
                    <w:top w:val="single" w:sz="4" w:space="0" w:color="auto"/>
                    <w:left w:val="single" w:sz="4" w:space="0" w:color="auto"/>
                    <w:bottom w:val="single" w:sz="4" w:space="0" w:color="auto"/>
                    <w:right w:val="single" w:sz="4" w:space="0" w:color="auto"/>
                  </w:tcBorders>
                  <w:shd w:val="clear" w:color="auto" w:fill="auto"/>
                </w:tcPr>
                <w:p w14:paraId="607F9F3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B0C4C1D"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NULL</w:t>
                  </w:r>
                </w:p>
                <w:p w14:paraId="41D0B86C"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F3FD07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NULL</w:t>
                  </w:r>
                </w:p>
                <w:p w14:paraId="4E2C4449"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MT: </w:t>
                  </w:r>
                  <w:proofErr w:type="spellStart"/>
                  <w:r w:rsidRPr="007A1945">
                    <w:rPr>
                      <w:rFonts w:ascii="Arial" w:eastAsia="Malgun Gothic" w:hAnsi="Arial"/>
                      <w:sz w:val="18"/>
                      <w:lang w:eastAsia="ko-KR"/>
                    </w:rPr>
                    <w:t>Tx</w:t>
                  </w:r>
                  <w:proofErr w:type="spellEnd"/>
                  <w:r w:rsidRPr="007A1945">
                    <w:rPr>
                      <w:rFonts w:ascii="Arial" w:eastAsia="Malgun Gothic" w:hAnsi="Arial"/>
                      <w:sz w:val="18"/>
                      <w:lang w:eastAsia="ko-KR"/>
                    </w:rPr>
                    <w:t xml:space="preserve"> </w:t>
                  </w:r>
                </w:p>
              </w:tc>
              <w:tc>
                <w:tcPr>
                  <w:tcW w:w="2868" w:type="dxa"/>
                  <w:tcBorders>
                    <w:top w:val="single" w:sz="4" w:space="0" w:color="auto"/>
                    <w:left w:val="single" w:sz="4" w:space="0" w:color="auto"/>
                    <w:bottom w:val="single" w:sz="4" w:space="0" w:color="auto"/>
                    <w:right w:val="single" w:sz="4" w:space="0" w:color="auto"/>
                  </w:tcBorders>
                </w:tcPr>
                <w:p w14:paraId="1344781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NULL</w:t>
                  </w:r>
                </w:p>
                <w:p w14:paraId="44BEEBF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MT: </w:t>
                  </w:r>
                  <w:proofErr w:type="spellStart"/>
                  <w:r w:rsidRPr="007A1945">
                    <w:rPr>
                      <w:rFonts w:ascii="Arial" w:eastAsia="Malgun Gothic" w:hAnsi="Arial"/>
                      <w:sz w:val="18"/>
                      <w:lang w:eastAsia="ko-KR"/>
                    </w:rPr>
                    <w:t>Tx</w:t>
                  </w:r>
                  <w:proofErr w:type="spellEnd"/>
                  <w:r w:rsidRPr="007A1945">
                    <w:rPr>
                      <w:rFonts w:ascii="Arial" w:eastAsia="Malgun Gothic" w:hAnsi="Arial"/>
                      <w:sz w:val="18"/>
                      <w:lang w:eastAsia="ko-KR"/>
                    </w:rPr>
                    <w:t>/Rx</w:t>
                  </w:r>
                </w:p>
              </w:tc>
            </w:tr>
          </w:tbl>
          <w:p w14:paraId="2B610788" w14:textId="0B50313D" w:rsidR="007A1945" w:rsidRPr="007A1945" w:rsidRDefault="007A1945" w:rsidP="00C517C8">
            <w:pPr>
              <w:spacing w:afterLines="50" w:after="120"/>
              <w:rPr>
                <w:sz w:val="22"/>
                <w:szCs w:val="22"/>
              </w:rPr>
            </w:pPr>
          </w:p>
        </w:tc>
      </w:tr>
    </w:tbl>
    <w:p w14:paraId="73398260" w14:textId="77777777" w:rsidR="007A1945" w:rsidRDefault="007A1945" w:rsidP="00C517C8">
      <w:pPr>
        <w:spacing w:afterLines="50" w:after="120"/>
        <w:rPr>
          <w:sz w:val="22"/>
          <w:szCs w:val="22"/>
          <w:lang w:val="en-US"/>
        </w:rPr>
      </w:pPr>
    </w:p>
    <w:p w14:paraId="07378D1F" w14:textId="5962C38E" w:rsidR="007A1945" w:rsidRDefault="007A1945" w:rsidP="00C517C8">
      <w:pPr>
        <w:spacing w:afterLines="50" w:after="120"/>
        <w:rPr>
          <w:sz w:val="22"/>
          <w:szCs w:val="22"/>
          <w:lang w:val="en-US"/>
        </w:rPr>
      </w:pPr>
      <w:r>
        <w:rPr>
          <w:rFonts w:hint="eastAsia"/>
          <w:sz w:val="22"/>
          <w:szCs w:val="22"/>
          <w:lang w:val="en-US"/>
        </w:rPr>
        <w:t>In the IAB WI, detailed resource allocation signaling e.g.,</w:t>
      </w:r>
      <w:r>
        <w:rPr>
          <w:sz w:val="22"/>
          <w:szCs w:val="22"/>
          <w:lang w:val="en-US"/>
        </w:rPr>
        <w:t xml:space="preserve"> how to indicate DU resource types should be specified.</w:t>
      </w:r>
    </w:p>
    <w:p w14:paraId="3CF51187" w14:textId="77777777" w:rsidR="007A1945" w:rsidRDefault="007A1945" w:rsidP="00C517C8">
      <w:pPr>
        <w:spacing w:afterLines="50" w:after="120"/>
        <w:rPr>
          <w:sz w:val="22"/>
          <w:szCs w:val="22"/>
          <w:lang w:val="en-US"/>
        </w:rPr>
      </w:pPr>
    </w:p>
    <w:p w14:paraId="19294086" w14:textId="1A0D0DEA" w:rsidR="007A1945" w:rsidRDefault="007A1945" w:rsidP="007A1945">
      <w:pPr>
        <w:pStyle w:val="2"/>
        <w:rPr>
          <w:sz w:val="22"/>
          <w:szCs w:val="22"/>
          <w:lang w:val="en-US"/>
        </w:rPr>
      </w:pPr>
      <w:r>
        <w:rPr>
          <w:rFonts w:hint="eastAsia"/>
          <w:sz w:val="22"/>
          <w:szCs w:val="22"/>
          <w:lang w:val="en-US"/>
        </w:rPr>
        <w:lastRenderedPageBreak/>
        <w:t>2.1</w:t>
      </w:r>
      <w:r>
        <w:rPr>
          <w:rFonts w:hint="eastAsia"/>
          <w:sz w:val="22"/>
          <w:szCs w:val="22"/>
          <w:lang w:val="en-US"/>
        </w:rPr>
        <w:tab/>
        <w:t>Semi-static resource configuration</w:t>
      </w:r>
    </w:p>
    <w:p w14:paraId="14770E55" w14:textId="600037DE" w:rsidR="007A1945" w:rsidRDefault="003B61C0" w:rsidP="00C517C8">
      <w:pPr>
        <w:spacing w:afterLines="50" w:after="120"/>
        <w:rPr>
          <w:sz w:val="22"/>
          <w:szCs w:val="22"/>
          <w:lang w:val="en-US"/>
        </w:rPr>
      </w:pPr>
      <w:r>
        <w:rPr>
          <w:rFonts w:hint="eastAsia"/>
          <w:sz w:val="22"/>
          <w:szCs w:val="22"/>
          <w:lang w:val="en-US"/>
        </w:rPr>
        <w:t xml:space="preserve">For IAB-node MT, the semi-static resource configuration such as TDD UL DL configuration for access UE can be reused. </w:t>
      </w:r>
      <w:r>
        <w:rPr>
          <w:sz w:val="22"/>
          <w:szCs w:val="22"/>
          <w:lang w:val="en-US"/>
        </w:rPr>
        <w:t xml:space="preserve">However, for IAB-node DU, there are seven resource types (DL-H, DL-S, UL-H, UL-S, F-H, F-S, NA) and hence the existing resource configuration signaling (i.e., </w:t>
      </w:r>
      <w:r w:rsidRPr="003B61C0">
        <w:rPr>
          <w:i/>
          <w:sz w:val="22"/>
          <w:szCs w:val="22"/>
          <w:lang w:val="en-US"/>
        </w:rPr>
        <w:t>TDD-UL-DL-</w:t>
      </w:r>
      <w:proofErr w:type="spellStart"/>
      <w:r w:rsidRPr="003B61C0">
        <w:rPr>
          <w:i/>
          <w:sz w:val="22"/>
          <w:szCs w:val="22"/>
          <w:lang w:val="en-US"/>
        </w:rPr>
        <w:t>Config</w:t>
      </w:r>
      <w:proofErr w:type="spellEnd"/>
      <w:r>
        <w:rPr>
          <w:sz w:val="22"/>
          <w:szCs w:val="22"/>
          <w:lang w:val="en-US"/>
        </w:rPr>
        <w:t>) cannot be reused without modification for IAB-node DU.</w:t>
      </w:r>
    </w:p>
    <w:p w14:paraId="77865063" w14:textId="74035830" w:rsidR="00514B00" w:rsidRDefault="003B61C0" w:rsidP="003B61C0">
      <w:pPr>
        <w:spacing w:afterLines="50" w:after="120"/>
        <w:rPr>
          <w:sz w:val="22"/>
          <w:szCs w:val="22"/>
          <w:lang w:val="en-US"/>
        </w:rPr>
      </w:pPr>
      <w:r>
        <w:rPr>
          <w:sz w:val="22"/>
          <w:szCs w:val="22"/>
          <w:lang w:val="en-US"/>
        </w:rPr>
        <w:t xml:space="preserve">Nevertheless, we consider that the semi-static resource configuration signaling for IAB-node DU should be based on the existing resource configuration signaling, especially the structure of </w:t>
      </w:r>
      <w:r w:rsidRPr="003B61C0">
        <w:rPr>
          <w:i/>
          <w:sz w:val="22"/>
          <w:szCs w:val="22"/>
          <w:lang w:val="en-US"/>
        </w:rPr>
        <w:t>TDD-UL-DL-</w:t>
      </w:r>
      <w:proofErr w:type="spellStart"/>
      <w:r w:rsidRPr="003B61C0">
        <w:rPr>
          <w:i/>
          <w:sz w:val="22"/>
          <w:szCs w:val="22"/>
          <w:lang w:val="en-US"/>
        </w:rPr>
        <w:t>ConfigDedicated</w:t>
      </w:r>
      <w:proofErr w:type="spellEnd"/>
      <w:r>
        <w:rPr>
          <w:sz w:val="22"/>
          <w:szCs w:val="22"/>
          <w:lang w:val="en-US"/>
        </w:rPr>
        <w:t xml:space="preserve">. Hence, how to indicate “Hard or Soft” for DL/UL/Flexible resource and “NA” resources in </w:t>
      </w:r>
      <w:r w:rsidRPr="003B61C0">
        <w:rPr>
          <w:i/>
          <w:sz w:val="22"/>
          <w:szCs w:val="22"/>
          <w:lang w:val="en-US"/>
        </w:rPr>
        <w:t>TDD-UL-DL-</w:t>
      </w:r>
      <w:proofErr w:type="spellStart"/>
      <w:r w:rsidRPr="003B61C0">
        <w:rPr>
          <w:i/>
          <w:sz w:val="22"/>
          <w:szCs w:val="22"/>
          <w:lang w:val="en-US"/>
        </w:rPr>
        <w:t>SlotConfig</w:t>
      </w:r>
      <w:proofErr w:type="spellEnd"/>
      <w:r>
        <w:rPr>
          <w:sz w:val="22"/>
          <w:szCs w:val="22"/>
          <w:lang w:val="en-US"/>
        </w:rPr>
        <w:t xml:space="preserve"> can be considered. </w:t>
      </w:r>
      <w:r w:rsidR="00514B00">
        <w:rPr>
          <w:sz w:val="22"/>
          <w:szCs w:val="22"/>
          <w:lang w:val="en-US"/>
        </w:rPr>
        <w:t xml:space="preserve">In Rel-15 </w:t>
      </w:r>
      <w:r w:rsidR="00514B00" w:rsidRPr="003B61C0">
        <w:rPr>
          <w:i/>
          <w:sz w:val="22"/>
          <w:szCs w:val="22"/>
          <w:lang w:val="en-US"/>
        </w:rPr>
        <w:t>TDD-UL-DL-</w:t>
      </w:r>
      <w:proofErr w:type="spellStart"/>
      <w:r w:rsidR="00514B00" w:rsidRPr="003B61C0">
        <w:rPr>
          <w:i/>
          <w:sz w:val="22"/>
          <w:szCs w:val="22"/>
          <w:lang w:val="en-US"/>
        </w:rPr>
        <w:t>SlotConfig</w:t>
      </w:r>
      <w:proofErr w:type="spellEnd"/>
      <w:r w:rsidR="00514B00">
        <w:rPr>
          <w:sz w:val="22"/>
          <w:szCs w:val="22"/>
          <w:lang w:val="en-US"/>
        </w:rPr>
        <w:t>, the indication of DL/UL/Flexible resources has a symbol-level flexibility with restriction on an order of resource types, i.e., DL resource (if any) has to be located before Flexible/UL resource (if any)</w:t>
      </w:r>
      <w:r w:rsidR="00960D7E">
        <w:rPr>
          <w:sz w:val="22"/>
          <w:szCs w:val="22"/>
          <w:lang w:val="en-US"/>
        </w:rPr>
        <w:t xml:space="preserve"> within a slot</w:t>
      </w:r>
      <w:r w:rsidR="00514B00">
        <w:rPr>
          <w:sz w:val="22"/>
          <w:szCs w:val="22"/>
          <w:lang w:val="en-US"/>
        </w:rPr>
        <w:t>, and UL resource (if any) has to be located after DL/Flexible resource (if any)</w:t>
      </w:r>
      <w:r w:rsidR="00960D7E">
        <w:rPr>
          <w:sz w:val="22"/>
          <w:szCs w:val="22"/>
          <w:lang w:val="en-US"/>
        </w:rPr>
        <w:t xml:space="preserve"> within a slot. For IAB-node DU resource configuration, the indication granularity and the order of resource types need to be decided. </w:t>
      </w:r>
      <w:r w:rsidR="00D83B50">
        <w:rPr>
          <w:sz w:val="22"/>
          <w:szCs w:val="22"/>
          <w:lang w:val="en-US"/>
        </w:rPr>
        <w:t>We consider following alternatives.</w:t>
      </w:r>
    </w:p>
    <w:p w14:paraId="3F5B0EF7" w14:textId="43E2AC30" w:rsidR="00D83B50" w:rsidRDefault="00D83B50" w:rsidP="00D83B50">
      <w:pPr>
        <w:pStyle w:val="afc"/>
        <w:numPr>
          <w:ilvl w:val="0"/>
          <w:numId w:val="10"/>
        </w:numPr>
        <w:spacing w:afterLines="50" w:after="120"/>
        <w:ind w:leftChars="0"/>
        <w:rPr>
          <w:sz w:val="22"/>
          <w:szCs w:val="22"/>
          <w:lang w:val="en-US"/>
        </w:rPr>
      </w:pPr>
      <w:r>
        <w:rPr>
          <w:rFonts w:hint="eastAsia"/>
          <w:sz w:val="22"/>
          <w:szCs w:val="22"/>
          <w:lang w:val="en-US"/>
        </w:rPr>
        <w:t>Alt.1</w:t>
      </w:r>
    </w:p>
    <w:p w14:paraId="69F496A2" w14:textId="68FC55B1" w:rsidR="00D83B50" w:rsidRDefault="00D83B50" w:rsidP="00D83B50">
      <w:pPr>
        <w:pStyle w:val="afc"/>
        <w:numPr>
          <w:ilvl w:val="1"/>
          <w:numId w:val="10"/>
        </w:numPr>
        <w:spacing w:afterLines="50" w:after="120"/>
        <w:ind w:leftChars="0"/>
        <w:rPr>
          <w:sz w:val="22"/>
          <w:szCs w:val="22"/>
          <w:lang w:val="en-US"/>
        </w:rPr>
      </w:pPr>
      <w:r>
        <w:rPr>
          <w:rFonts w:hint="eastAsia"/>
          <w:sz w:val="22"/>
          <w:szCs w:val="22"/>
          <w:lang w:val="en-US"/>
        </w:rPr>
        <w:t xml:space="preserve">The indication granularity of </w:t>
      </w:r>
      <w:r>
        <w:rPr>
          <w:sz w:val="22"/>
          <w:szCs w:val="22"/>
          <w:lang w:val="en-US"/>
        </w:rPr>
        <w:t>“Hard or Soft” and/or “NA” is slot level.</w:t>
      </w:r>
    </w:p>
    <w:p w14:paraId="783C1718" w14:textId="76E53417" w:rsidR="00750C33" w:rsidRDefault="00750C33" w:rsidP="00D83B50">
      <w:pPr>
        <w:pStyle w:val="afc"/>
        <w:numPr>
          <w:ilvl w:val="2"/>
          <w:numId w:val="10"/>
        </w:numPr>
        <w:spacing w:afterLines="50" w:after="120"/>
        <w:ind w:leftChars="0"/>
        <w:rPr>
          <w:sz w:val="22"/>
          <w:szCs w:val="22"/>
          <w:lang w:val="en-US"/>
        </w:rPr>
      </w:pPr>
      <w:r>
        <w:rPr>
          <w:rFonts w:hint="eastAsia"/>
          <w:sz w:val="22"/>
          <w:szCs w:val="22"/>
          <w:lang w:val="en-US"/>
        </w:rPr>
        <w:t xml:space="preserve">The indication of </w:t>
      </w:r>
      <w:r>
        <w:rPr>
          <w:sz w:val="22"/>
          <w:szCs w:val="22"/>
          <w:lang w:val="en-US"/>
        </w:rPr>
        <w:t>“Hard or Soft” is applied to all resources within a slot.</w:t>
      </w:r>
    </w:p>
    <w:p w14:paraId="33706063" w14:textId="50C0319C" w:rsidR="00D83B50" w:rsidRDefault="00D83B50" w:rsidP="00750C33">
      <w:pPr>
        <w:pStyle w:val="afc"/>
        <w:numPr>
          <w:ilvl w:val="3"/>
          <w:numId w:val="10"/>
        </w:numPr>
        <w:spacing w:afterLines="50" w:after="120"/>
        <w:ind w:leftChars="0"/>
        <w:rPr>
          <w:sz w:val="22"/>
          <w:szCs w:val="22"/>
          <w:lang w:val="en-US"/>
        </w:rPr>
      </w:pPr>
      <w:r>
        <w:rPr>
          <w:sz w:val="22"/>
          <w:szCs w:val="22"/>
          <w:lang w:val="en-US"/>
        </w:rPr>
        <w:t>When “Hard” is indicated (or “Soft” is not indicated) for a slot, all DL/UL/Flexible resources within the slot are DL-H/UL-H/F-H, respectively.</w:t>
      </w:r>
    </w:p>
    <w:p w14:paraId="02B6A76A" w14:textId="59093CCA" w:rsidR="00D83B50" w:rsidRDefault="00D83B50" w:rsidP="00750C33">
      <w:pPr>
        <w:pStyle w:val="afc"/>
        <w:numPr>
          <w:ilvl w:val="3"/>
          <w:numId w:val="10"/>
        </w:numPr>
        <w:spacing w:afterLines="50" w:after="120"/>
        <w:ind w:leftChars="0"/>
        <w:rPr>
          <w:sz w:val="22"/>
          <w:szCs w:val="22"/>
          <w:lang w:val="en-US"/>
        </w:rPr>
      </w:pPr>
      <w:r>
        <w:rPr>
          <w:sz w:val="22"/>
          <w:szCs w:val="22"/>
          <w:lang w:val="en-US"/>
        </w:rPr>
        <w:t>When “Soft” is indicated (or “Hard” is not indicated) for a slot, all DL/UL/Flexible resources within the slot are DL-S/UL-S/F-S, respectively.</w:t>
      </w:r>
    </w:p>
    <w:p w14:paraId="2F5308C5" w14:textId="63F1063F" w:rsidR="00750C33" w:rsidRDefault="00750C33" w:rsidP="00D83B50">
      <w:pPr>
        <w:pStyle w:val="afc"/>
        <w:numPr>
          <w:ilvl w:val="2"/>
          <w:numId w:val="10"/>
        </w:numPr>
        <w:spacing w:afterLines="50" w:after="120"/>
        <w:ind w:leftChars="0"/>
        <w:rPr>
          <w:sz w:val="22"/>
          <w:szCs w:val="22"/>
          <w:lang w:val="en-US"/>
        </w:rPr>
      </w:pPr>
      <w:r>
        <w:rPr>
          <w:rFonts w:hint="eastAsia"/>
          <w:sz w:val="22"/>
          <w:szCs w:val="22"/>
          <w:lang w:val="en-US"/>
        </w:rPr>
        <w:t xml:space="preserve">The indication of </w:t>
      </w:r>
      <w:r>
        <w:rPr>
          <w:sz w:val="22"/>
          <w:szCs w:val="22"/>
          <w:lang w:val="en-US"/>
        </w:rPr>
        <w:t>“NA” is applied to all resources within a slot.</w:t>
      </w:r>
    </w:p>
    <w:p w14:paraId="1A107500" w14:textId="6C8E6F5C" w:rsidR="00D83B50" w:rsidRDefault="00D83B50" w:rsidP="00750C33">
      <w:pPr>
        <w:pStyle w:val="afc"/>
        <w:numPr>
          <w:ilvl w:val="3"/>
          <w:numId w:val="10"/>
        </w:numPr>
        <w:spacing w:afterLines="50" w:after="120"/>
        <w:ind w:leftChars="0"/>
        <w:rPr>
          <w:sz w:val="22"/>
          <w:szCs w:val="22"/>
          <w:lang w:val="en-US"/>
        </w:rPr>
      </w:pPr>
      <w:r>
        <w:rPr>
          <w:rFonts w:hint="eastAsia"/>
          <w:sz w:val="22"/>
          <w:szCs w:val="22"/>
          <w:lang w:val="en-US"/>
        </w:rPr>
        <w:t xml:space="preserve">When </w:t>
      </w:r>
      <w:r>
        <w:rPr>
          <w:sz w:val="22"/>
          <w:szCs w:val="22"/>
          <w:lang w:val="en-US"/>
        </w:rPr>
        <w:t>“NA” is indicated for a slot, all resources within the slot are NA.</w:t>
      </w:r>
    </w:p>
    <w:p w14:paraId="75A6C06D" w14:textId="56637D9B" w:rsidR="00D83B50" w:rsidRDefault="00D83B50" w:rsidP="00D83B50">
      <w:pPr>
        <w:pStyle w:val="afc"/>
        <w:numPr>
          <w:ilvl w:val="0"/>
          <w:numId w:val="10"/>
        </w:numPr>
        <w:spacing w:afterLines="50" w:after="120"/>
        <w:ind w:leftChars="0"/>
        <w:rPr>
          <w:sz w:val="22"/>
          <w:szCs w:val="22"/>
          <w:lang w:val="en-US"/>
        </w:rPr>
      </w:pPr>
      <w:r>
        <w:rPr>
          <w:sz w:val="22"/>
          <w:szCs w:val="22"/>
          <w:lang w:val="en-US"/>
        </w:rPr>
        <w:t>Alt.2</w:t>
      </w:r>
    </w:p>
    <w:p w14:paraId="41D68637" w14:textId="1FEB80A2" w:rsidR="00D83B50" w:rsidRDefault="00750C33" w:rsidP="00D83B50">
      <w:pPr>
        <w:pStyle w:val="afc"/>
        <w:numPr>
          <w:ilvl w:val="1"/>
          <w:numId w:val="10"/>
        </w:numPr>
        <w:spacing w:afterLines="50" w:after="120"/>
        <w:ind w:leftChars="0"/>
        <w:rPr>
          <w:sz w:val="22"/>
          <w:szCs w:val="22"/>
          <w:lang w:val="en-US"/>
        </w:rPr>
      </w:pPr>
      <w:r>
        <w:rPr>
          <w:rFonts w:hint="eastAsia"/>
          <w:sz w:val="22"/>
          <w:szCs w:val="22"/>
          <w:lang w:val="en-US"/>
        </w:rPr>
        <w:t xml:space="preserve">The indication granularity of </w:t>
      </w:r>
      <w:r>
        <w:rPr>
          <w:sz w:val="22"/>
          <w:szCs w:val="22"/>
          <w:lang w:val="en-US"/>
        </w:rPr>
        <w:t>“Hard or Soft” and/or “NA” is for each of DL/UL/Flexible types within a slot.</w:t>
      </w:r>
    </w:p>
    <w:p w14:paraId="28B2796E" w14:textId="48104C2E"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DL resource is applied to all DL resources within a slot.</w:t>
      </w:r>
    </w:p>
    <w:p w14:paraId="09EF7144" w14:textId="36D63E7E"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UL resource is applied to all UL resources within a slot.</w:t>
      </w:r>
    </w:p>
    <w:p w14:paraId="6E36D633" w14:textId="0859C197"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Flexible resource is applied to all Flexible resources within a slot.</w:t>
      </w:r>
    </w:p>
    <w:p w14:paraId="36FC9E77" w14:textId="012D982D" w:rsidR="008866AF" w:rsidRPr="008866AF" w:rsidRDefault="00750C33" w:rsidP="008866AF">
      <w:pPr>
        <w:pStyle w:val="afc"/>
        <w:numPr>
          <w:ilvl w:val="2"/>
          <w:numId w:val="10"/>
        </w:numPr>
        <w:spacing w:afterLines="50" w:after="120"/>
        <w:ind w:leftChars="0"/>
        <w:rPr>
          <w:sz w:val="22"/>
          <w:szCs w:val="22"/>
          <w:lang w:val="en-US"/>
        </w:rPr>
      </w:pPr>
      <w:r>
        <w:rPr>
          <w:rFonts w:hint="eastAsia"/>
          <w:sz w:val="22"/>
          <w:szCs w:val="22"/>
          <w:lang w:val="en-US"/>
        </w:rPr>
        <w:t xml:space="preserve">The indication of </w:t>
      </w:r>
      <w:r>
        <w:rPr>
          <w:sz w:val="22"/>
          <w:szCs w:val="22"/>
          <w:lang w:val="en-US"/>
        </w:rPr>
        <w:t>“NA” is applied to all DL resources and/or all UL resources within a slot.</w:t>
      </w:r>
    </w:p>
    <w:p w14:paraId="25EB09D6" w14:textId="1B9C0415" w:rsidR="00750C33" w:rsidRDefault="00750C33" w:rsidP="00750C33">
      <w:pPr>
        <w:pStyle w:val="afc"/>
        <w:numPr>
          <w:ilvl w:val="0"/>
          <w:numId w:val="10"/>
        </w:numPr>
        <w:spacing w:afterLines="50" w:after="120"/>
        <w:ind w:leftChars="0"/>
        <w:rPr>
          <w:sz w:val="22"/>
          <w:szCs w:val="22"/>
          <w:lang w:val="en-US"/>
        </w:rPr>
      </w:pPr>
      <w:r>
        <w:rPr>
          <w:sz w:val="22"/>
          <w:szCs w:val="22"/>
          <w:lang w:val="en-US"/>
        </w:rPr>
        <w:t>Alt.3</w:t>
      </w:r>
    </w:p>
    <w:p w14:paraId="4B5559B1" w14:textId="6E7BC58D" w:rsidR="00750C33" w:rsidRDefault="00750C33" w:rsidP="00750C33">
      <w:pPr>
        <w:pStyle w:val="afc"/>
        <w:numPr>
          <w:ilvl w:val="1"/>
          <w:numId w:val="10"/>
        </w:numPr>
        <w:spacing w:afterLines="50" w:after="120"/>
        <w:ind w:leftChars="0"/>
        <w:rPr>
          <w:sz w:val="22"/>
          <w:szCs w:val="22"/>
          <w:lang w:val="en-US"/>
        </w:rPr>
      </w:pPr>
      <w:r>
        <w:rPr>
          <w:rFonts w:hint="eastAsia"/>
          <w:sz w:val="22"/>
          <w:szCs w:val="22"/>
          <w:lang w:val="en-US"/>
        </w:rPr>
        <w:t xml:space="preserve">The indication granularity of </w:t>
      </w:r>
      <w:r>
        <w:rPr>
          <w:sz w:val="22"/>
          <w:szCs w:val="22"/>
          <w:lang w:val="en-US"/>
        </w:rPr>
        <w:t>“Hard or Soft” and/or “NA” is symbol level.</w:t>
      </w:r>
    </w:p>
    <w:p w14:paraId="1D5693B5" w14:textId="4CB2F1D3" w:rsidR="00750C33" w:rsidRDefault="008866AF" w:rsidP="00750C33">
      <w:pPr>
        <w:pStyle w:val="afc"/>
        <w:numPr>
          <w:ilvl w:val="2"/>
          <w:numId w:val="10"/>
        </w:numPr>
        <w:spacing w:afterLines="50" w:after="120"/>
        <w:ind w:leftChars="0"/>
        <w:rPr>
          <w:sz w:val="22"/>
          <w:szCs w:val="22"/>
          <w:lang w:val="en-US"/>
        </w:rPr>
      </w:pPr>
      <w:r>
        <w:rPr>
          <w:sz w:val="22"/>
          <w:szCs w:val="22"/>
          <w:lang w:val="en-US"/>
        </w:rPr>
        <w:t>T</w:t>
      </w:r>
      <w:r>
        <w:rPr>
          <w:rFonts w:hint="eastAsia"/>
          <w:sz w:val="22"/>
          <w:szCs w:val="22"/>
          <w:lang w:val="en-US"/>
        </w:rPr>
        <w:t xml:space="preserve">he </w:t>
      </w:r>
      <w:r>
        <w:rPr>
          <w:sz w:val="22"/>
          <w:szCs w:val="22"/>
          <w:lang w:val="en-US"/>
        </w:rPr>
        <w:t>order of resource types within a slot is defined, e.g., NA, DL-S, DL-H, FL-H/S, UL-H, UL-S, NA.</w:t>
      </w:r>
    </w:p>
    <w:p w14:paraId="0DFC27B6" w14:textId="303214B6" w:rsidR="008866AF" w:rsidRDefault="008866AF" w:rsidP="00750C33">
      <w:pPr>
        <w:pStyle w:val="afc"/>
        <w:numPr>
          <w:ilvl w:val="2"/>
          <w:numId w:val="10"/>
        </w:numPr>
        <w:spacing w:afterLines="50" w:after="120"/>
        <w:ind w:leftChars="0"/>
        <w:rPr>
          <w:sz w:val="22"/>
          <w:szCs w:val="22"/>
          <w:lang w:val="en-US"/>
        </w:rPr>
      </w:pPr>
      <w:r>
        <w:rPr>
          <w:sz w:val="22"/>
          <w:szCs w:val="22"/>
          <w:lang w:val="en-US"/>
        </w:rPr>
        <w:t>The number of symbols for each of NA(front), DL-S, DL-H is indicated as number of symbols from the beginning of the slot.</w:t>
      </w:r>
    </w:p>
    <w:p w14:paraId="0C51453D" w14:textId="53F028C2" w:rsidR="008866AF" w:rsidRDefault="008866AF" w:rsidP="00750C33">
      <w:pPr>
        <w:pStyle w:val="afc"/>
        <w:numPr>
          <w:ilvl w:val="2"/>
          <w:numId w:val="10"/>
        </w:numPr>
        <w:spacing w:afterLines="50" w:after="120"/>
        <w:ind w:leftChars="0"/>
        <w:rPr>
          <w:sz w:val="22"/>
          <w:szCs w:val="22"/>
          <w:lang w:val="en-US"/>
        </w:rPr>
      </w:pPr>
      <w:r>
        <w:rPr>
          <w:sz w:val="22"/>
          <w:szCs w:val="22"/>
          <w:lang w:val="en-US"/>
        </w:rPr>
        <w:t>The number of symbols for each of NA(end), UL-S, UL-H is indicated as number of symbols from the end of the slot.</w:t>
      </w:r>
    </w:p>
    <w:p w14:paraId="3F588B05" w14:textId="31F8E08A" w:rsidR="00CF51B5" w:rsidRDefault="00CF51B5" w:rsidP="00750C33">
      <w:pPr>
        <w:pStyle w:val="afc"/>
        <w:numPr>
          <w:ilvl w:val="2"/>
          <w:numId w:val="10"/>
        </w:numPr>
        <w:spacing w:afterLines="50" w:after="120"/>
        <w:ind w:leftChars="0"/>
        <w:rPr>
          <w:sz w:val="22"/>
          <w:szCs w:val="22"/>
          <w:lang w:val="en-US"/>
        </w:rPr>
      </w:pPr>
      <w:r>
        <w:rPr>
          <w:sz w:val="22"/>
          <w:szCs w:val="22"/>
          <w:lang w:val="en-US"/>
        </w:rPr>
        <w:t>For Flexible resources within a slot, the indication of “Hard or Soft” is applied to all Flexible resources within a slot.</w:t>
      </w:r>
    </w:p>
    <w:p w14:paraId="33CADE75" w14:textId="7C1439F4" w:rsidR="00CF51B5" w:rsidRDefault="00CF51B5" w:rsidP="00CF51B5">
      <w:pPr>
        <w:spacing w:afterLines="50" w:after="120"/>
        <w:rPr>
          <w:sz w:val="22"/>
          <w:szCs w:val="22"/>
          <w:lang w:val="en-US"/>
        </w:rPr>
      </w:pPr>
      <w:r>
        <w:rPr>
          <w:rFonts w:hint="eastAsia"/>
          <w:sz w:val="22"/>
          <w:szCs w:val="22"/>
          <w:lang w:val="en-US"/>
        </w:rPr>
        <w:t xml:space="preserve">In Alt.1, the modification to </w:t>
      </w:r>
      <w:r w:rsidRPr="003B61C0">
        <w:rPr>
          <w:i/>
          <w:sz w:val="22"/>
          <w:szCs w:val="22"/>
          <w:lang w:val="en-US"/>
        </w:rPr>
        <w:t>TDD-UL-DL-</w:t>
      </w:r>
      <w:proofErr w:type="spellStart"/>
      <w:r w:rsidRPr="003B61C0">
        <w:rPr>
          <w:i/>
          <w:sz w:val="22"/>
          <w:szCs w:val="22"/>
          <w:lang w:val="en-US"/>
        </w:rPr>
        <w:t>SlotConfig</w:t>
      </w:r>
      <w:proofErr w:type="spellEnd"/>
      <w:r>
        <w:rPr>
          <w:sz w:val="22"/>
          <w:szCs w:val="22"/>
          <w:lang w:val="en-US"/>
        </w:rPr>
        <w:t xml:space="preserve"> can be very simple, i.e., adding indication of “Hard or Soft or NA” for each slot. This is based on the assumption that backhaul link and access link communications may not need to be multiplexed within a slot.</w:t>
      </w:r>
    </w:p>
    <w:p w14:paraId="7165BEC1" w14:textId="6464CC1F" w:rsidR="00CF51B5" w:rsidRDefault="00CF51B5" w:rsidP="00CF51B5">
      <w:pPr>
        <w:spacing w:afterLines="50" w:after="120"/>
        <w:rPr>
          <w:sz w:val="22"/>
          <w:szCs w:val="22"/>
          <w:lang w:val="en-US"/>
        </w:rPr>
      </w:pPr>
      <w:r>
        <w:rPr>
          <w:sz w:val="22"/>
          <w:szCs w:val="22"/>
          <w:lang w:val="en-US"/>
        </w:rPr>
        <w:lastRenderedPageBreak/>
        <w:t xml:space="preserve">In Alt.2, the backhaul link DL and access link UL can be multiplexed within a slot as well as the backhaul link UL and access link DL multiplexing within a slot. </w:t>
      </w:r>
      <w:r>
        <w:rPr>
          <w:rFonts w:hint="eastAsia"/>
          <w:sz w:val="22"/>
          <w:szCs w:val="22"/>
          <w:lang w:val="en-US"/>
        </w:rPr>
        <w:t>F</w:t>
      </w:r>
      <w:r>
        <w:rPr>
          <w:sz w:val="22"/>
          <w:szCs w:val="22"/>
          <w:lang w:val="en-US"/>
        </w:rPr>
        <w:t>or example, first N symbols within a slot can be NA f</w:t>
      </w:r>
      <w:r w:rsidR="009267BA">
        <w:rPr>
          <w:sz w:val="22"/>
          <w:szCs w:val="22"/>
          <w:lang w:val="en-US"/>
        </w:rPr>
        <w:t>or monitoring PDCCH from the parent</w:t>
      </w:r>
      <w:r>
        <w:rPr>
          <w:sz w:val="22"/>
          <w:szCs w:val="22"/>
          <w:lang w:val="en-US"/>
        </w:rPr>
        <w:t xml:space="preserve"> IAB-node, and </w:t>
      </w:r>
      <w:r w:rsidR="009267BA">
        <w:rPr>
          <w:sz w:val="22"/>
          <w:szCs w:val="22"/>
          <w:lang w:val="en-US"/>
        </w:rPr>
        <w:t>following symbols within the slot can be used for either backhaul link or access link.</w:t>
      </w:r>
    </w:p>
    <w:p w14:paraId="09F7B94D" w14:textId="257EBFCD" w:rsidR="009267BA" w:rsidRDefault="009267BA" w:rsidP="00CF51B5">
      <w:pPr>
        <w:spacing w:afterLines="50" w:after="120"/>
        <w:rPr>
          <w:sz w:val="22"/>
          <w:szCs w:val="22"/>
          <w:lang w:val="en-US"/>
        </w:rPr>
      </w:pPr>
      <w:r>
        <w:rPr>
          <w:sz w:val="22"/>
          <w:szCs w:val="22"/>
          <w:lang w:val="en-US"/>
        </w:rPr>
        <w:t xml:space="preserve">In Alt.3, </w:t>
      </w:r>
      <w:r w:rsidR="001E6CB9">
        <w:rPr>
          <w:sz w:val="22"/>
          <w:szCs w:val="22"/>
          <w:lang w:val="en-US"/>
        </w:rPr>
        <w:t xml:space="preserve">NA, Soft and Hard types for each of DL/UL can be multiplexed within a slot with restriction on the order of resource types. Resource configuration flexibility beyond this alternative should not be necessary. </w:t>
      </w:r>
    </w:p>
    <w:p w14:paraId="172522A7" w14:textId="33433144" w:rsidR="00D265AB" w:rsidRPr="008866AF" w:rsidRDefault="001E6CB9" w:rsidP="00C517C8">
      <w:pPr>
        <w:spacing w:afterLines="50" w:after="120"/>
        <w:rPr>
          <w:sz w:val="22"/>
          <w:szCs w:val="22"/>
          <w:lang w:val="en-US"/>
        </w:rPr>
      </w:pPr>
      <w:r>
        <w:rPr>
          <w:rFonts w:hint="eastAsia"/>
          <w:sz w:val="22"/>
          <w:szCs w:val="22"/>
          <w:lang w:val="en-US"/>
        </w:rPr>
        <w:t xml:space="preserve">We propose to </w:t>
      </w:r>
      <w:r>
        <w:rPr>
          <w:sz w:val="22"/>
          <w:szCs w:val="22"/>
          <w:lang w:val="en-US"/>
        </w:rPr>
        <w:t xml:space="preserve">specify the semi-static resource configuration signaling for IAB-node DU based on the structure of existing </w:t>
      </w:r>
      <w:r w:rsidRPr="003B61C0">
        <w:rPr>
          <w:i/>
          <w:sz w:val="22"/>
          <w:szCs w:val="22"/>
          <w:lang w:val="en-US"/>
        </w:rPr>
        <w:t>TDD-UL-DL-</w:t>
      </w:r>
      <w:proofErr w:type="spellStart"/>
      <w:r w:rsidRPr="003B61C0">
        <w:rPr>
          <w:i/>
          <w:sz w:val="22"/>
          <w:szCs w:val="22"/>
          <w:lang w:val="en-US"/>
        </w:rPr>
        <w:t>ConfigDedicated</w:t>
      </w:r>
      <w:proofErr w:type="spellEnd"/>
      <w:r>
        <w:rPr>
          <w:sz w:val="22"/>
          <w:szCs w:val="22"/>
          <w:lang w:val="en-US"/>
        </w:rPr>
        <w:t xml:space="preserve"> with minimizing modification, and propose to down-select detailed modification from above three alternatives. We slightly prefer Alt.1 or Alt.2.</w:t>
      </w:r>
    </w:p>
    <w:p w14:paraId="00320B92" w14:textId="6F0E7A9B" w:rsidR="001E6CB9" w:rsidRDefault="001E6CB9" w:rsidP="001E6CB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NR IAB supports the semi-static resource configuration signalling for IAB-node DU based on the existing </w:t>
      </w:r>
      <w:r w:rsidRPr="001E6CB9">
        <w:rPr>
          <w:rFonts w:eastAsia="游明朝"/>
          <w:b/>
          <w:i/>
          <w:sz w:val="22"/>
          <w:szCs w:val="22"/>
        </w:rPr>
        <w:t>TDD-UL-DL-</w:t>
      </w:r>
      <w:proofErr w:type="spellStart"/>
      <w:r w:rsidRPr="001E6CB9">
        <w:rPr>
          <w:rFonts w:eastAsia="游明朝"/>
          <w:b/>
          <w:i/>
          <w:sz w:val="22"/>
          <w:szCs w:val="22"/>
        </w:rPr>
        <w:t>ConfigDedicated</w:t>
      </w:r>
      <w:proofErr w:type="spellEnd"/>
      <w:r>
        <w:rPr>
          <w:rFonts w:eastAsia="游明朝"/>
          <w:b/>
          <w:sz w:val="22"/>
          <w:szCs w:val="22"/>
        </w:rPr>
        <w:t xml:space="preserve"> with modification down-selected from following alternatives</w:t>
      </w:r>
      <w:r>
        <w:rPr>
          <w:rFonts w:eastAsia="游明朝" w:hint="eastAsia"/>
          <w:b/>
          <w:sz w:val="22"/>
          <w:szCs w:val="22"/>
        </w:rPr>
        <w:t>.</w:t>
      </w:r>
    </w:p>
    <w:p w14:paraId="1982816D" w14:textId="5DD59675" w:rsidR="001E6CB9" w:rsidRDefault="001E6CB9" w:rsidP="001E6CB9">
      <w:pPr>
        <w:pStyle w:val="afc"/>
        <w:numPr>
          <w:ilvl w:val="0"/>
          <w:numId w:val="11"/>
        </w:numPr>
        <w:spacing w:afterLines="50" w:after="120"/>
        <w:ind w:leftChars="0"/>
        <w:jc w:val="both"/>
        <w:rPr>
          <w:rFonts w:eastAsia="游明朝"/>
          <w:b/>
          <w:sz w:val="22"/>
          <w:szCs w:val="22"/>
        </w:rPr>
      </w:pPr>
      <w:r>
        <w:rPr>
          <w:rFonts w:eastAsia="游明朝" w:hint="eastAsia"/>
          <w:b/>
          <w:sz w:val="22"/>
          <w:szCs w:val="22"/>
        </w:rPr>
        <w:t xml:space="preserve">Alt.1: </w:t>
      </w:r>
      <w:r>
        <w:rPr>
          <w:rFonts w:eastAsia="游明朝"/>
          <w:b/>
          <w:sz w:val="22"/>
          <w:szCs w:val="22"/>
        </w:rPr>
        <w:t>For each slot, “Hard or Soft or NA” is indicated.</w:t>
      </w:r>
    </w:p>
    <w:p w14:paraId="65FA0009" w14:textId="36E6160E" w:rsidR="001E6CB9" w:rsidRDefault="001E6CB9" w:rsidP="001E6CB9">
      <w:pPr>
        <w:pStyle w:val="afc"/>
        <w:numPr>
          <w:ilvl w:val="0"/>
          <w:numId w:val="11"/>
        </w:numPr>
        <w:spacing w:afterLines="50" w:after="120"/>
        <w:ind w:leftChars="0"/>
        <w:jc w:val="both"/>
        <w:rPr>
          <w:rFonts w:eastAsia="游明朝"/>
          <w:b/>
          <w:sz w:val="22"/>
          <w:szCs w:val="22"/>
        </w:rPr>
      </w:pPr>
      <w:r>
        <w:rPr>
          <w:rFonts w:eastAsia="游明朝"/>
          <w:b/>
          <w:sz w:val="22"/>
          <w:szCs w:val="22"/>
        </w:rPr>
        <w:t xml:space="preserve">Alt.2: For each resource type (DL/UL/Flexible) in each slot, </w:t>
      </w:r>
      <w:r w:rsidR="00887818">
        <w:rPr>
          <w:rFonts w:eastAsia="游明朝"/>
          <w:b/>
          <w:sz w:val="22"/>
          <w:szCs w:val="22"/>
        </w:rPr>
        <w:t>“Hard or Soft or NA” is indicated.</w:t>
      </w:r>
    </w:p>
    <w:p w14:paraId="33E8DF78" w14:textId="54246191" w:rsidR="00887818" w:rsidRPr="001E6CB9" w:rsidRDefault="00887818" w:rsidP="001E6CB9">
      <w:pPr>
        <w:pStyle w:val="afc"/>
        <w:numPr>
          <w:ilvl w:val="0"/>
          <w:numId w:val="11"/>
        </w:numPr>
        <w:spacing w:afterLines="50" w:after="120"/>
        <w:ind w:leftChars="0"/>
        <w:jc w:val="both"/>
        <w:rPr>
          <w:rFonts w:eastAsia="游明朝"/>
          <w:b/>
          <w:sz w:val="22"/>
          <w:szCs w:val="22"/>
        </w:rPr>
      </w:pPr>
      <w:r>
        <w:rPr>
          <w:rFonts w:eastAsia="游明朝"/>
          <w:b/>
          <w:sz w:val="22"/>
          <w:szCs w:val="22"/>
        </w:rPr>
        <w:t>Alt.3: For each slot, number of symbols for each resource type (DL-H, DL-S, UL-H, UL-S, F-H, F-S, NA) is indicated. The order of resource types within a slot is defined in specification.</w:t>
      </w:r>
    </w:p>
    <w:p w14:paraId="6A9F4CAA" w14:textId="3F048A3F" w:rsidR="00814EA0" w:rsidRDefault="00814EA0" w:rsidP="00C517C8">
      <w:pPr>
        <w:spacing w:afterLines="50" w:after="120"/>
        <w:rPr>
          <w:sz w:val="22"/>
          <w:szCs w:val="22"/>
        </w:rPr>
      </w:pPr>
    </w:p>
    <w:p w14:paraId="2C387A70" w14:textId="70594104" w:rsidR="00EB1890" w:rsidRDefault="00EB1890" w:rsidP="00C517C8">
      <w:pPr>
        <w:spacing w:afterLines="50" w:after="120"/>
        <w:rPr>
          <w:sz w:val="22"/>
          <w:szCs w:val="22"/>
        </w:rPr>
      </w:pPr>
      <w:r>
        <w:rPr>
          <w:rFonts w:hint="eastAsia"/>
          <w:sz w:val="22"/>
          <w:szCs w:val="22"/>
        </w:rPr>
        <w:t xml:space="preserve">Above discussion assumes </w:t>
      </w:r>
      <w:r>
        <w:rPr>
          <w:sz w:val="22"/>
          <w:szCs w:val="22"/>
        </w:rPr>
        <w:t xml:space="preserve">an </w:t>
      </w:r>
      <w:r>
        <w:rPr>
          <w:rFonts w:hint="eastAsia"/>
          <w:sz w:val="22"/>
          <w:szCs w:val="22"/>
        </w:rPr>
        <w:t>explicit indication of IAB-node DU resource configuration</w:t>
      </w:r>
      <w:r>
        <w:rPr>
          <w:sz w:val="22"/>
          <w:szCs w:val="22"/>
        </w:rPr>
        <w:t xml:space="preserve">. In addition, in </w:t>
      </w:r>
      <w:r w:rsidRPr="00EB1890">
        <w:rPr>
          <w:sz w:val="22"/>
          <w:szCs w:val="22"/>
        </w:rPr>
        <w:t>Table 7.3.3-1</w:t>
      </w:r>
      <w:r>
        <w:rPr>
          <w:sz w:val="22"/>
          <w:szCs w:val="22"/>
        </w:rPr>
        <w:t xml:space="preserve"> in TR38.874, it is assumed that </w:t>
      </w:r>
      <w:r w:rsidR="00C13584">
        <w:rPr>
          <w:sz w:val="22"/>
          <w:szCs w:val="22"/>
        </w:rPr>
        <w:t xml:space="preserve">resource configuration for IAB-node DU overrides resource configuration for IAB-node MT. However, MT resource configuration for specific purposes such as SMTC and PDCCH CSS </w:t>
      </w:r>
      <w:r w:rsidR="00FC1976">
        <w:rPr>
          <w:sz w:val="22"/>
          <w:szCs w:val="22"/>
        </w:rPr>
        <w:t>may need to</w:t>
      </w:r>
      <w:r w:rsidR="00C13584">
        <w:rPr>
          <w:sz w:val="22"/>
          <w:szCs w:val="22"/>
        </w:rPr>
        <w:t xml:space="preserve"> be further prioritized for a stable backhaul link connection. </w:t>
      </w:r>
      <w:r w:rsidR="00FC1976">
        <w:rPr>
          <w:sz w:val="22"/>
          <w:szCs w:val="22"/>
        </w:rPr>
        <w:t>Since both DU configuration and MT configuration are provided by parent IAB-node/donor, some DU resource configuration colliding with specific MT configuration can be considered as error case.</w:t>
      </w:r>
    </w:p>
    <w:p w14:paraId="74F4144F" w14:textId="68B3CA7B" w:rsidR="00FC1976" w:rsidRDefault="00FC1976" w:rsidP="00FC197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w:t>
      </w:r>
      <w:r>
        <w:rPr>
          <w:rFonts w:eastAsia="游明朝"/>
          <w:b/>
          <w:sz w:val="22"/>
          <w:szCs w:val="22"/>
        </w:rPr>
        <w:t xml:space="preserve"> If DU resource configuration makes specific MT behaviour unavailable e.g., monitoring SSB from parent IAB-node/donor for backhaul link RRM/RLM, it is considered as error configuration</w:t>
      </w:r>
      <w:r>
        <w:rPr>
          <w:rFonts w:eastAsia="游明朝" w:hint="eastAsia"/>
          <w:b/>
          <w:sz w:val="22"/>
          <w:szCs w:val="22"/>
        </w:rPr>
        <w:t>.</w:t>
      </w:r>
    </w:p>
    <w:p w14:paraId="2B203888" w14:textId="77777777" w:rsidR="00FC1976" w:rsidRPr="00FC1976" w:rsidRDefault="00FC1976" w:rsidP="00C517C8">
      <w:pPr>
        <w:spacing w:afterLines="50" w:after="120"/>
        <w:rPr>
          <w:sz w:val="22"/>
          <w:szCs w:val="22"/>
        </w:rPr>
      </w:pPr>
    </w:p>
    <w:p w14:paraId="0819E6E6" w14:textId="77777777" w:rsidR="00887818" w:rsidRPr="00887818" w:rsidRDefault="00887818" w:rsidP="00C517C8">
      <w:pPr>
        <w:spacing w:afterLines="50" w:after="120"/>
        <w:rPr>
          <w:sz w:val="22"/>
          <w:szCs w:val="22"/>
        </w:rPr>
      </w:pPr>
    </w:p>
    <w:p w14:paraId="7BFA703D" w14:textId="72D52355" w:rsidR="00887818" w:rsidRDefault="00887818" w:rsidP="00887818">
      <w:pPr>
        <w:pStyle w:val="2"/>
        <w:rPr>
          <w:sz w:val="22"/>
          <w:szCs w:val="22"/>
          <w:lang w:val="en-US"/>
        </w:rPr>
      </w:pPr>
      <w:r>
        <w:rPr>
          <w:rFonts w:hint="eastAsia"/>
          <w:sz w:val="22"/>
          <w:szCs w:val="22"/>
          <w:lang w:val="en-US"/>
        </w:rPr>
        <w:t>2.2</w:t>
      </w:r>
      <w:r>
        <w:rPr>
          <w:rFonts w:hint="eastAsia"/>
          <w:sz w:val="22"/>
          <w:szCs w:val="22"/>
          <w:lang w:val="en-US"/>
        </w:rPr>
        <w:tab/>
      </w:r>
      <w:r>
        <w:rPr>
          <w:sz w:val="22"/>
          <w:szCs w:val="22"/>
          <w:lang w:val="en-US"/>
        </w:rPr>
        <w:t>Dynamic indication of the availability of soft resources</w:t>
      </w:r>
    </w:p>
    <w:p w14:paraId="1C94788A" w14:textId="4D2B3606" w:rsidR="001E6CB9" w:rsidRDefault="004E4597" w:rsidP="00C517C8">
      <w:pPr>
        <w:spacing w:afterLines="50" w:after="120"/>
        <w:rPr>
          <w:sz w:val="22"/>
          <w:szCs w:val="22"/>
          <w:lang w:val="en-US"/>
        </w:rPr>
      </w:pPr>
      <w:r>
        <w:rPr>
          <w:rFonts w:hint="eastAsia"/>
          <w:sz w:val="22"/>
          <w:szCs w:val="22"/>
          <w:lang w:val="en-US"/>
        </w:rPr>
        <w:t xml:space="preserve">For </w:t>
      </w:r>
      <w:r>
        <w:rPr>
          <w:sz w:val="22"/>
          <w:szCs w:val="22"/>
          <w:lang w:val="en-US"/>
        </w:rPr>
        <w:t>DU “Soft” resources, the availability for DU child link is explicitly and/or implicitly controlled by the parent node. In this subsection, detailed mechanism for dynamic indication of soft resource availability is discussed.</w:t>
      </w:r>
    </w:p>
    <w:p w14:paraId="0DC4745A" w14:textId="596F6C3E" w:rsidR="004E4597" w:rsidRDefault="004E4597" w:rsidP="00C517C8">
      <w:pPr>
        <w:spacing w:afterLines="50" w:after="120"/>
        <w:rPr>
          <w:sz w:val="22"/>
          <w:szCs w:val="22"/>
          <w:lang w:val="en-US"/>
        </w:rPr>
      </w:pPr>
      <w:r>
        <w:rPr>
          <w:sz w:val="22"/>
          <w:szCs w:val="22"/>
          <w:lang w:val="en-US"/>
        </w:rPr>
        <w:t xml:space="preserve">We consider that a simplest way is to follow the scheduling grant from the parent node. For a soft resource that is semi-statistically configured, if DL reception or UL transmission is scheduled for the resource by the parent node, the resource is used for parent BH link and is not available for DU child link. Otherwise, it is available for DU child link. </w:t>
      </w:r>
      <w:r w:rsidR="003115EC">
        <w:rPr>
          <w:sz w:val="22"/>
          <w:szCs w:val="22"/>
          <w:lang w:val="en-US"/>
        </w:rPr>
        <w:t>For this mechanism, a certain time interval between the scheduling grant from parent node and the scheduled soft resource may be necessary to switch the MT/DU behavior. In addition, the resource for the scheduling grant from parent node needs to be configured as NA for IAB-node DU.</w:t>
      </w:r>
    </w:p>
    <w:p w14:paraId="22985DD1" w14:textId="0FB387CC" w:rsidR="003115EC" w:rsidRDefault="003115EC" w:rsidP="00C517C8">
      <w:pPr>
        <w:spacing w:afterLines="50" w:after="120"/>
        <w:rPr>
          <w:sz w:val="22"/>
          <w:szCs w:val="22"/>
          <w:lang w:val="en-US"/>
        </w:rPr>
      </w:pPr>
      <w:r>
        <w:rPr>
          <w:sz w:val="22"/>
          <w:szCs w:val="22"/>
          <w:lang w:val="en-US"/>
        </w:rPr>
        <w:t>Another possible mechanism for the dynamic indication of soft resource availability is to utilize a slot format indication</w:t>
      </w:r>
      <w:r w:rsidR="00BE5E83">
        <w:rPr>
          <w:sz w:val="22"/>
          <w:szCs w:val="22"/>
          <w:lang w:val="en-US"/>
        </w:rPr>
        <w:t xml:space="preserve"> i.e., DCI format 2_0 from the parent node with necessary modification such as a new slot format including NA. In Rel-15, the slot format indices from 56 to 254 are reserved, and hence the </w:t>
      </w:r>
      <w:r w:rsidR="008D113D">
        <w:rPr>
          <w:sz w:val="22"/>
          <w:szCs w:val="22"/>
          <w:lang w:val="en-US"/>
        </w:rPr>
        <w:t xml:space="preserve">indication of </w:t>
      </w:r>
      <w:r w:rsidR="00BE5E83">
        <w:rPr>
          <w:sz w:val="22"/>
          <w:szCs w:val="22"/>
          <w:lang w:val="en-US"/>
        </w:rPr>
        <w:t xml:space="preserve">new slot formats for IAB </w:t>
      </w:r>
      <w:r w:rsidR="008D113D">
        <w:rPr>
          <w:sz w:val="22"/>
          <w:szCs w:val="22"/>
          <w:lang w:val="en-US"/>
        </w:rPr>
        <w:t>can use these indices.</w:t>
      </w:r>
    </w:p>
    <w:p w14:paraId="756D5288" w14:textId="7DE03BB5" w:rsidR="003D45CF" w:rsidRDefault="003D45CF" w:rsidP="00C517C8">
      <w:pPr>
        <w:spacing w:afterLines="50" w:after="120"/>
        <w:rPr>
          <w:sz w:val="22"/>
          <w:szCs w:val="22"/>
          <w:lang w:val="en-US"/>
        </w:rPr>
      </w:pPr>
      <w:r>
        <w:rPr>
          <w:sz w:val="22"/>
          <w:szCs w:val="22"/>
          <w:lang w:val="en-US"/>
        </w:rPr>
        <w:t>We propose to support both of above mechanisms for the dynamic indication of soft resource availability in Rel-16.</w:t>
      </w:r>
    </w:p>
    <w:p w14:paraId="0804471C" w14:textId="01931896" w:rsidR="003D3798" w:rsidRDefault="008D113D" w:rsidP="003D379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If the parent IAB-node/donor schedules DL reception or UL transmission on a resource which is semi-statistically configured as soft resource for a child IAB-node, </w:t>
      </w:r>
      <w:r w:rsidR="003D3798">
        <w:rPr>
          <w:rFonts w:eastAsia="游明朝"/>
          <w:b/>
          <w:sz w:val="22"/>
          <w:szCs w:val="22"/>
        </w:rPr>
        <w:t>the child IAB-node MT follows the scheduling and the child IAB-node DU considers the scheduled resource as NA</w:t>
      </w:r>
      <w:r>
        <w:rPr>
          <w:rFonts w:eastAsia="游明朝" w:hint="eastAsia"/>
          <w:b/>
          <w:sz w:val="22"/>
          <w:szCs w:val="22"/>
        </w:rPr>
        <w:t>.</w:t>
      </w:r>
    </w:p>
    <w:p w14:paraId="0EF47C63" w14:textId="2990E6EB" w:rsidR="003D45CF" w:rsidRDefault="003D45CF" w:rsidP="003D45CF">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New slot formats for IAB that include indication of NA resource(s) in addition to DL/Flexible/UL resources are indicated by using reserved indices of the dynamic slot format indication based on DCI format 2_0</w:t>
      </w:r>
      <w:r>
        <w:rPr>
          <w:rFonts w:eastAsia="游明朝" w:hint="eastAsia"/>
          <w:b/>
          <w:sz w:val="22"/>
          <w:szCs w:val="22"/>
        </w:rPr>
        <w:t>.</w:t>
      </w:r>
    </w:p>
    <w:p w14:paraId="0237604A" w14:textId="5A1D237F" w:rsidR="007A1945" w:rsidRDefault="007A1945" w:rsidP="00C517C8">
      <w:pPr>
        <w:spacing w:afterLines="50" w:after="120"/>
        <w:rPr>
          <w:sz w:val="22"/>
          <w:szCs w:val="22"/>
          <w:lang w:val="en-US"/>
        </w:rPr>
      </w:pPr>
    </w:p>
    <w:p w14:paraId="154836CC" w14:textId="77777777"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6CD38E81"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the m</w:t>
      </w:r>
      <w:r w:rsidR="00847529" w:rsidRPr="009D2855">
        <w:rPr>
          <w:rFonts w:eastAsia="ＭＳ 明朝"/>
          <w:sz w:val="22"/>
          <w:szCs w:val="22"/>
          <w:lang w:val="en-US"/>
        </w:rPr>
        <w:t>echanisms for resource multiplexing among backhaul and access links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0B1B1594" w14:textId="77777777" w:rsidR="00847529" w:rsidRDefault="00847529" w:rsidP="0084752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NR IAB supports the semi-static resource configuration signalling for IAB-node DU based on the existing </w:t>
      </w:r>
      <w:r w:rsidRPr="001E6CB9">
        <w:rPr>
          <w:rFonts w:eastAsia="游明朝"/>
          <w:b/>
          <w:i/>
          <w:sz w:val="22"/>
          <w:szCs w:val="22"/>
        </w:rPr>
        <w:t>TDD-UL-DL-</w:t>
      </w:r>
      <w:proofErr w:type="spellStart"/>
      <w:r w:rsidRPr="001E6CB9">
        <w:rPr>
          <w:rFonts w:eastAsia="游明朝"/>
          <w:b/>
          <w:i/>
          <w:sz w:val="22"/>
          <w:szCs w:val="22"/>
        </w:rPr>
        <w:t>ConfigDedicated</w:t>
      </w:r>
      <w:proofErr w:type="spellEnd"/>
      <w:r>
        <w:rPr>
          <w:rFonts w:eastAsia="游明朝"/>
          <w:b/>
          <w:sz w:val="22"/>
          <w:szCs w:val="22"/>
        </w:rPr>
        <w:t xml:space="preserve"> with modification down-selected from following alternatives</w:t>
      </w:r>
      <w:r>
        <w:rPr>
          <w:rFonts w:eastAsia="游明朝" w:hint="eastAsia"/>
          <w:b/>
          <w:sz w:val="22"/>
          <w:szCs w:val="22"/>
        </w:rPr>
        <w:t>.</w:t>
      </w:r>
    </w:p>
    <w:p w14:paraId="291783BE" w14:textId="77777777" w:rsidR="00847529" w:rsidRDefault="00847529" w:rsidP="00847529">
      <w:pPr>
        <w:pStyle w:val="afc"/>
        <w:numPr>
          <w:ilvl w:val="0"/>
          <w:numId w:val="11"/>
        </w:numPr>
        <w:spacing w:afterLines="50" w:after="120"/>
        <w:ind w:leftChars="0"/>
        <w:jc w:val="both"/>
        <w:rPr>
          <w:rFonts w:eastAsia="游明朝"/>
          <w:b/>
          <w:sz w:val="22"/>
          <w:szCs w:val="22"/>
        </w:rPr>
      </w:pPr>
      <w:r>
        <w:rPr>
          <w:rFonts w:eastAsia="游明朝" w:hint="eastAsia"/>
          <w:b/>
          <w:sz w:val="22"/>
          <w:szCs w:val="22"/>
        </w:rPr>
        <w:t xml:space="preserve">Alt.1: </w:t>
      </w:r>
      <w:r>
        <w:rPr>
          <w:rFonts w:eastAsia="游明朝"/>
          <w:b/>
          <w:sz w:val="22"/>
          <w:szCs w:val="22"/>
        </w:rPr>
        <w:t>For each slot, “Hard or Soft or NA” is indicated.</w:t>
      </w:r>
    </w:p>
    <w:p w14:paraId="0625D39D" w14:textId="77777777" w:rsidR="00847529" w:rsidRDefault="00847529" w:rsidP="00847529">
      <w:pPr>
        <w:pStyle w:val="afc"/>
        <w:numPr>
          <w:ilvl w:val="0"/>
          <w:numId w:val="11"/>
        </w:numPr>
        <w:spacing w:afterLines="50" w:after="120"/>
        <w:ind w:leftChars="0"/>
        <w:jc w:val="both"/>
        <w:rPr>
          <w:rFonts w:eastAsia="游明朝"/>
          <w:b/>
          <w:sz w:val="22"/>
          <w:szCs w:val="22"/>
        </w:rPr>
      </w:pPr>
      <w:r>
        <w:rPr>
          <w:rFonts w:eastAsia="游明朝"/>
          <w:b/>
          <w:sz w:val="22"/>
          <w:szCs w:val="22"/>
        </w:rPr>
        <w:t>Alt.2: For each resource type (DL/UL/Flexible) in each slot, “Hard or Soft or NA” is indicated.</w:t>
      </w:r>
    </w:p>
    <w:p w14:paraId="7433DB5D" w14:textId="77777777" w:rsidR="00847529" w:rsidRPr="001E6CB9" w:rsidRDefault="00847529" w:rsidP="00847529">
      <w:pPr>
        <w:pStyle w:val="afc"/>
        <w:numPr>
          <w:ilvl w:val="0"/>
          <w:numId w:val="11"/>
        </w:numPr>
        <w:spacing w:afterLines="50" w:after="120"/>
        <w:ind w:leftChars="0"/>
        <w:jc w:val="both"/>
        <w:rPr>
          <w:rFonts w:eastAsia="游明朝"/>
          <w:b/>
          <w:sz w:val="22"/>
          <w:szCs w:val="22"/>
        </w:rPr>
      </w:pPr>
      <w:r>
        <w:rPr>
          <w:rFonts w:eastAsia="游明朝"/>
          <w:b/>
          <w:sz w:val="22"/>
          <w:szCs w:val="22"/>
        </w:rPr>
        <w:t>Alt.3: For each slot, number of symbols for each resource type (DL-H, DL-S, UL-H, UL-S, F-H, F-S, NA) is indicated. The order of resource types within a slot is defined in specification.</w:t>
      </w:r>
    </w:p>
    <w:p w14:paraId="60A0F162" w14:textId="77777777" w:rsidR="00847529" w:rsidRPr="00847529" w:rsidRDefault="00847529" w:rsidP="00847529">
      <w:pPr>
        <w:spacing w:afterLines="50" w:after="120"/>
        <w:jc w:val="both"/>
        <w:rPr>
          <w:rFonts w:eastAsia="游明朝"/>
          <w:b/>
          <w:sz w:val="22"/>
          <w:szCs w:val="22"/>
        </w:rPr>
      </w:pPr>
      <w:r w:rsidRPr="00847529">
        <w:rPr>
          <w:rFonts w:eastAsia="游明朝"/>
          <w:b/>
          <w:sz w:val="22"/>
          <w:szCs w:val="22"/>
          <w:u w:val="single"/>
        </w:rPr>
        <w:t>Proposal</w:t>
      </w:r>
      <w:r w:rsidRPr="00847529">
        <w:rPr>
          <w:rFonts w:eastAsia="游明朝" w:hint="eastAsia"/>
          <w:b/>
          <w:sz w:val="22"/>
          <w:szCs w:val="22"/>
          <w:u w:val="single"/>
        </w:rPr>
        <w:t xml:space="preserve"> 2</w:t>
      </w:r>
      <w:r w:rsidRPr="00847529">
        <w:rPr>
          <w:rFonts w:eastAsia="游明朝" w:hint="eastAsia"/>
          <w:b/>
          <w:sz w:val="22"/>
          <w:szCs w:val="22"/>
        </w:rPr>
        <w:t>:</w:t>
      </w:r>
      <w:r w:rsidRPr="00847529">
        <w:rPr>
          <w:rFonts w:eastAsia="游明朝"/>
          <w:b/>
          <w:sz w:val="22"/>
          <w:szCs w:val="22"/>
        </w:rPr>
        <w:t xml:space="preserve"> If DU resource configuration makes specific MT behaviour unavailable e.g., monitoring SSB from parent IAB-node/donor for backhaul link RRM/RLM, it is considered as error configuration</w:t>
      </w:r>
      <w:r w:rsidRPr="00847529">
        <w:rPr>
          <w:rFonts w:eastAsia="游明朝" w:hint="eastAsia"/>
          <w:b/>
          <w:sz w:val="22"/>
          <w:szCs w:val="22"/>
        </w:rPr>
        <w:t>.</w:t>
      </w:r>
    </w:p>
    <w:p w14:paraId="7CE4FB6E" w14:textId="77777777" w:rsidR="003D3798" w:rsidRDefault="003D3798" w:rsidP="003D379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If the parent IAB-node/donor schedules DL reception or UL transmission on a resource which is semi-statistically configured as soft resource for a child IAB-node, the child IAB-node MT follows the scheduling and the child IAB-node DU considers the scheduled resource as NA</w:t>
      </w:r>
      <w:r>
        <w:rPr>
          <w:rFonts w:eastAsia="游明朝" w:hint="eastAsia"/>
          <w:b/>
          <w:sz w:val="22"/>
          <w:szCs w:val="22"/>
        </w:rPr>
        <w:t>.</w:t>
      </w:r>
    </w:p>
    <w:p w14:paraId="249D0366" w14:textId="77777777" w:rsidR="003D45CF" w:rsidRDefault="003D45CF" w:rsidP="003D45C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New slot formats for IAB that include indication of NA resource(s) in addition to DL/Flexible/UL resources are indicated by using reserved indices of the dynamic slot format indication based on DCI format 2_0</w:t>
      </w:r>
      <w:r>
        <w:rPr>
          <w:rFonts w:eastAsia="游明朝" w:hint="eastAsia"/>
          <w:b/>
          <w:sz w:val="22"/>
          <w:szCs w:val="22"/>
        </w:rPr>
        <w:t>.</w:t>
      </w:r>
    </w:p>
    <w:p w14:paraId="78761C00" w14:textId="77777777" w:rsidR="00F624AE" w:rsidRPr="003D45CF"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4A8164EA" w:rsidR="009D6CB0" w:rsidRDefault="00571AD2" w:rsidP="00764120">
      <w:pPr>
        <w:pStyle w:val="afc"/>
        <w:numPr>
          <w:ilvl w:val="0"/>
          <w:numId w:val="4"/>
        </w:numPr>
        <w:spacing w:afterLines="50" w:after="120"/>
        <w:ind w:leftChars="0"/>
        <w:jc w:val="both"/>
        <w:rPr>
          <w:rFonts w:eastAsia="ＭＳ 明朝"/>
          <w:sz w:val="22"/>
        </w:rPr>
      </w:pPr>
      <w:r w:rsidRPr="00571AD2">
        <w:rPr>
          <w:rFonts w:eastAsia="ＭＳ 明朝"/>
          <w:sz w:val="22"/>
        </w:rPr>
        <w:t>3GPP</w:t>
      </w:r>
      <w:r w:rsidR="00764120">
        <w:rPr>
          <w:rFonts w:eastAsia="ＭＳ 明朝"/>
          <w:sz w:val="22"/>
        </w:rPr>
        <w:t>, RP-182882, Qualcomm, “</w:t>
      </w:r>
      <w:r w:rsidR="00764120" w:rsidRPr="00764120">
        <w:rPr>
          <w:rFonts w:eastAsia="ＭＳ 明朝"/>
          <w:sz w:val="22"/>
        </w:rPr>
        <w:t>New WID: Integrated Access and Backhaul for NR</w:t>
      </w:r>
      <w:r w:rsidR="00764120">
        <w:rPr>
          <w:rFonts w:eastAsia="ＭＳ 明朝"/>
          <w:sz w:val="22"/>
        </w:rPr>
        <w:t>,” Dec. 2018.</w:t>
      </w:r>
    </w:p>
    <w:p w14:paraId="7822518B" w14:textId="01E87855" w:rsidR="009517C5" w:rsidRDefault="00E949B3" w:rsidP="009517C5">
      <w:pPr>
        <w:pStyle w:val="afc"/>
        <w:numPr>
          <w:ilvl w:val="0"/>
          <w:numId w:val="4"/>
        </w:numPr>
        <w:spacing w:afterLines="50" w:after="120"/>
        <w:ind w:leftChars="0"/>
        <w:jc w:val="both"/>
        <w:rPr>
          <w:rFonts w:eastAsia="ＭＳ 明朝"/>
          <w:sz w:val="22"/>
        </w:rPr>
      </w:pPr>
      <w:r>
        <w:rPr>
          <w:rFonts w:eastAsia="ＭＳ 明朝" w:hint="eastAsia"/>
          <w:sz w:val="22"/>
        </w:rPr>
        <w:t>3GPP, TR38.874 v1.0.0, Dec</w:t>
      </w:r>
      <w:r w:rsidR="009517C5">
        <w:rPr>
          <w:rFonts w:eastAsia="ＭＳ 明朝" w:hint="eastAsia"/>
          <w:sz w:val="22"/>
        </w:rPr>
        <w:t>. 2018.</w:t>
      </w:r>
    </w:p>
    <w:sectPr w:rsidR="009517C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10B13" w14:textId="77777777" w:rsidR="0066759B" w:rsidRDefault="0066759B">
      <w:r>
        <w:separator/>
      </w:r>
    </w:p>
  </w:endnote>
  <w:endnote w:type="continuationSeparator" w:id="0">
    <w:p w14:paraId="5340AB77" w14:textId="77777777" w:rsidR="0066759B" w:rsidRDefault="0066759B">
      <w:r>
        <w:continuationSeparator/>
      </w:r>
    </w:p>
  </w:endnote>
  <w:endnote w:type="continuationNotice" w:id="1">
    <w:p w14:paraId="35A449A8" w14:textId="77777777" w:rsidR="0066759B" w:rsidRDefault="00667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EF706F2"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61EF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61EFF">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CFF04" w14:textId="77777777" w:rsidR="0066759B" w:rsidRDefault="0066759B">
      <w:r>
        <w:separator/>
      </w:r>
    </w:p>
  </w:footnote>
  <w:footnote w:type="continuationSeparator" w:id="0">
    <w:p w14:paraId="41055872" w14:textId="77777777" w:rsidR="0066759B" w:rsidRDefault="0066759B">
      <w:r>
        <w:continuationSeparator/>
      </w:r>
    </w:p>
  </w:footnote>
  <w:footnote w:type="continuationNotice" w:id="1">
    <w:p w14:paraId="0C024CA7" w14:textId="77777777" w:rsidR="0066759B" w:rsidRDefault="0066759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5A67285"/>
    <w:multiLevelType w:val="hybridMultilevel"/>
    <w:tmpl w:val="2BA82B4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EBA021A"/>
    <w:multiLevelType w:val="hybridMultilevel"/>
    <w:tmpl w:val="A4E8F61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E894A53"/>
    <w:multiLevelType w:val="hybridMultilevel"/>
    <w:tmpl w:val="114CF3F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F090751"/>
    <w:multiLevelType w:val="hybridMultilevel"/>
    <w:tmpl w:val="BBE2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2"/>
  </w:num>
  <w:num w:numId="5">
    <w:abstractNumId w:val="11"/>
  </w:num>
  <w:num w:numId="6">
    <w:abstractNumId w:val="6"/>
  </w:num>
  <w:num w:numId="7">
    <w:abstractNumId w:val="10"/>
  </w:num>
  <w:num w:numId="8">
    <w:abstractNumId w:val="9"/>
  </w:num>
  <w:num w:numId="9">
    <w:abstractNumId w:val="8"/>
  </w:num>
  <w:num w:numId="10">
    <w:abstractNumId w:val="4"/>
  </w:num>
  <w:num w:numId="11">
    <w:abstractNumId w:val="1"/>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797"/>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CB9"/>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B00"/>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1945"/>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13D"/>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EF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584"/>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976"/>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E491B-1FC0-42E1-8516-8BDCB6EE6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2270</Words>
  <Characters>12945</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2019-01-11T06:01:00Z</dcterms:created>
  <dcterms:modified xsi:type="dcterms:W3CDTF">2019-01-11T06:01:00Z</dcterms:modified>
</cp:coreProperties>
</file>